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284BFBC" w:rsidR="0016385D" w:rsidRPr="00D71833" w:rsidRDefault="00146534" w:rsidP="00A451CC">
      <w:pPr>
        <w:pStyle w:val="PaperTitle"/>
        <w:spacing w:before="0"/>
        <w:rPr>
          <w:b w:val="0"/>
          <w:bCs/>
          <w:sz w:val="24"/>
          <w:szCs w:val="24"/>
        </w:rPr>
      </w:pPr>
      <w:r w:rsidRPr="00D71833">
        <w:t>Gold Price Prediction and Trading Decision Using Machine Learning and Deep Reinforcement Learning</w:t>
      </w:r>
      <w:r w:rsidR="00BE5FD1" w:rsidRPr="00D71833">
        <w:t xml:space="preserve"> </w:t>
      </w:r>
    </w:p>
    <w:p w14:paraId="548D96A3" w14:textId="201737C0" w:rsidR="00C14B14" w:rsidRPr="00D71833" w:rsidRDefault="00146534" w:rsidP="00A451CC">
      <w:pPr>
        <w:pStyle w:val="AuthorName"/>
        <w:rPr>
          <w:sz w:val="20"/>
          <w:lang w:val="en-GB" w:eastAsia="en-GB"/>
        </w:rPr>
      </w:pPr>
      <w:r w:rsidRPr="00D71833">
        <w:t>Ahmad Tajuddin Fauzan</w:t>
      </w:r>
      <w:r w:rsidR="00DA060F" w:rsidRPr="00D71833">
        <w:rPr>
          <w:vertAlign w:val="superscript"/>
        </w:rPr>
        <w:t>1</w:t>
      </w:r>
      <w:r w:rsidR="00EF6940" w:rsidRPr="00D71833">
        <w:rPr>
          <w:vertAlign w:val="superscript"/>
        </w:rPr>
        <w:t>,</w:t>
      </w:r>
      <w:r w:rsidR="003A5C85" w:rsidRPr="00D71833">
        <w:rPr>
          <w:vertAlign w:val="superscript"/>
        </w:rPr>
        <w:t xml:space="preserve"> </w:t>
      </w:r>
      <w:r w:rsidR="00EF6940" w:rsidRPr="00D71833">
        <w:rPr>
          <w:vertAlign w:val="superscript"/>
        </w:rPr>
        <w:t>a)</w:t>
      </w:r>
      <w:r w:rsidR="0016385D" w:rsidRPr="00D71833">
        <w:t xml:space="preserve"> and </w:t>
      </w:r>
      <w:r w:rsidRPr="00D71833">
        <w:t>Suraya Nurain Kalid</w:t>
      </w:r>
      <w:r w:rsidR="00A30C00" w:rsidRPr="00D71833">
        <w:rPr>
          <w:vertAlign w:val="superscript"/>
        </w:rPr>
        <w:t>1,</w:t>
      </w:r>
      <w:r w:rsidR="00DA060F" w:rsidRPr="00D71833">
        <w:rPr>
          <w:vertAlign w:val="superscript"/>
        </w:rPr>
        <w:t xml:space="preserve"> </w:t>
      </w:r>
      <w:r w:rsidR="00A30C00" w:rsidRPr="00D71833">
        <w:rPr>
          <w:vertAlign w:val="superscript"/>
        </w:rPr>
        <w:t>2</w:t>
      </w:r>
      <w:r w:rsidR="007B4863" w:rsidRPr="00D71833">
        <w:rPr>
          <w:vertAlign w:val="superscript"/>
        </w:rPr>
        <w:t>,</w:t>
      </w:r>
      <w:r w:rsidR="003A5C85" w:rsidRPr="00D71833">
        <w:rPr>
          <w:vertAlign w:val="superscript"/>
        </w:rPr>
        <w:t xml:space="preserve"> b)</w:t>
      </w:r>
    </w:p>
    <w:p w14:paraId="5A74C7F1" w14:textId="17B87070" w:rsidR="00DA060F" w:rsidRPr="00D71833" w:rsidRDefault="00DA060F" w:rsidP="00DA060F">
      <w:pPr>
        <w:pStyle w:val="Normal1"/>
        <w:spacing w:after="0" w:line="240" w:lineRule="auto"/>
        <w:jc w:val="center"/>
        <w:rPr>
          <w:rFonts w:ascii="Times New Roman" w:eastAsia="Times New Roman" w:hAnsi="Times New Roman" w:cs="Times New Roman"/>
          <w:i/>
          <w:iCs/>
          <w:sz w:val="20"/>
          <w:szCs w:val="20"/>
        </w:rPr>
      </w:pPr>
      <w:r w:rsidRPr="00D71833">
        <w:rPr>
          <w:rFonts w:ascii="Times New Roman" w:eastAsia="Times New Roman" w:hAnsi="Times New Roman" w:cs="Times New Roman"/>
          <w:i/>
          <w:iCs/>
          <w:sz w:val="20"/>
          <w:szCs w:val="20"/>
          <w:vertAlign w:val="superscript"/>
        </w:rPr>
        <w:t>1</w:t>
      </w:r>
      <w:r w:rsidRPr="00D71833">
        <w:rPr>
          <w:rFonts w:ascii="Times New Roman" w:eastAsia="Times New Roman" w:hAnsi="Times New Roman" w:cs="Times New Roman"/>
          <w:i/>
          <w:iCs/>
          <w:sz w:val="20"/>
          <w:szCs w:val="20"/>
        </w:rPr>
        <w:t>Faculty of Computing and Informatics, Multimedia University, Persiaran Multimedia, 63100, Cyberjaya, Malaysia</w:t>
      </w:r>
      <w:r w:rsidR="00464C88" w:rsidRPr="00D71833">
        <w:rPr>
          <w:rFonts w:ascii="Times New Roman" w:eastAsia="Times New Roman" w:hAnsi="Times New Roman" w:cs="Times New Roman"/>
          <w:i/>
          <w:iCs/>
          <w:sz w:val="20"/>
          <w:szCs w:val="20"/>
        </w:rPr>
        <w:t>.</w:t>
      </w:r>
    </w:p>
    <w:p w14:paraId="54B5B886" w14:textId="524374B2" w:rsidR="00DA060F" w:rsidRPr="00D71833" w:rsidRDefault="00DA060F" w:rsidP="00DA060F">
      <w:pPr>
        <w:pStyle w:val="AuthorName"/>
        <w:spacing w:before="0" w:after="0"/>
        <w:rPr>
          <w:i/>
          <w:iCs/>
          <w:sz w:val="20"/>
          <w:szCs w:val="14"/>
        </w:rPr>
      </w:pPr>
      <w:r w:rsidRPr="00D71833">
        <w:rPr>
          <w:i/>
          <w:iCs/>
          <w:sz w:val="20"/>
          <w:vertAlign w:val="superscript"/>
        </w:rPr>
        <w:t>2</w:t>
      </w:r>
      <w:r w:rsidRPr="00D71833">
        <w:rPr>
          <w:i/>
          <w:iCs/>
          <w:sz w:val="20"/>
        </w:rPr>
        <w:t xml:space="preserve">Centre for </w:t>
      </w:r>
      <w:r w:rsidRPr="00D71833">
        <w:rPr>
          <w:i/>
          <w:iCs/>
          <w:sz w:val="20"/>
          <w:lang w:val="en-MY" w:eastAsia="en-GB"/>
        </w:rPr>
        <w:t>Advanced Analytics</w:t>
      </w:r>
      <w:r w:rsidRPr="00D71833">
        <w:rPr>
          <w:i/>
          <w:iCs/>
          <w:sz w:val="20"/>
        </w:rPr>
        <w:t xml:space="preserve">, </w:t>
      </w:r>
      <w:proofErr w:type="spellStart"/>
      <w:r w:rsidRPr="00D71833">
        <w:rPr>
          <w:i/>
          <w:iCs/>
          <w:sz w:val="20"/>
        </w:rPr>
        <w:t>CoE</w:t>
      </w:r>
      <w:proofErr w:type="spellEnd"/>
      <w:r w:rsidRPr="00D71833">
        <w:rPr>
          <w:i/>
          <w:iCs/>
          <w:sz w:val="20"/>
        </w:rPr>
        <w:t xml:space="preserve"> for </w:t>
      </w:r>
      <w:r w:rsidRPr="00D71833">
        <w:rPr>
          <w:i/>
          <w:iCs/>
          <w:sz w:val="20"/>
          <w:lang w:val="en-MY" w:eastAsia="en-GB"/>
        </w:rPr>
        <w:t>Artificial Intelligence</w:t>
      </w:r>
      <w:r w:rsidRPr="00D71833">
        <w:rPr>
          <w:i/>
          <w:iCs/>
          <w:sz w:val="20"/>
        </w:rPr>
        <w:t>, Multimedia University, Persiaran Multimedia, 63100, Cyberjaya, Malaysia.</w:t>
      </w:r>
    </w:p>
    <w:p w14:paraId="7D2E1D28" w14:textId="77777777" w:rsidR="009B3AD5" w:rsidRPr="00D71833" w:rsidRDefault="00C14B14" w:rsidP="009B3AD5">
      <w:pPr>
        <w:pStyle w:val="AuthorAffiliation"/>
      </w:pPr>
      <w:r w:rsidRPr="00D71833">
        <w:br/>
      </w:r>
      <w:r w:rsidR="009B3AD5" w:rsidRPr="00D71833">
        <w:rPr>
          <w:vertAlign w:val="superscript"/>
        </w:rPr>
        <w:t>b)</w:t>
      </w:r>
      <w:hyperlink r:id="rId11" w:history="1">
        <w:r w:rsidR="009B3AD5" w:rsidRPr="00D71833">
          <w:rPr>
            <w:rStyle w:val="Hyperlink"/>
            <w:color w:val="auto"/>
            <w:u w:val="none"/>
          </w:rPr>
          <w:t xml:space="preserve"> corresponding author: suraya.nurain@mmu.edu.my</w:t>
        </w:r>
      </w:hyperlink>
    </w:p>
    <w:p w14:paraId="28605C00" w14:textId="19BE45CB" w:rsidR="002862F8" w:rsidRPr="00D71833" w:rsidRDefault="00B40FDB" w:rsidP="009B3AD5">
      <w:pPr>
        <w:pStyle w:val="AuthorAffiliation"/>
      </w:pPr>
      <w:r w:rsidRPr="00D71833">
        <w:rPr>
          <w:vertAlign w:val="superscript"/>
        </w:rPr>
        <w:t>a)</w:t>
      </w:r>
      <w:r w:rsidR="00464C88" w:rsidRPr="00D71833">
        <w:rPr>
          <w:vertAlign w:val="superscript"/>
        </w:rPr>
        <w:t xml:space="preserve"> </w:t>
      </w:r>
      <w:r w:rsidR="000E627E" w:rsidRPr="00D71833">
        <w:t>ahmadtajuddinfauzan@gmail.com</w:t>
      </w:r>
    </w:p>
    <w:p w14:paraId="22C3F2A8" w14:textId="38D6B6A3" w:rsidR="0016385D" w:rsidRPr="00D71833" w:rsidRDefault="0016385D" w:rsidP="00A451CC">
      <w:pPr>
        <w:pStyle w:val="Abstract"/>
      </w:pPr>
      <w:r w:rsidRPr="00D71833">
        <w:rPr>
          <w:b/>
          <w:bCs/>
        </w:rPr>
        <w:t>Abstract.</w:t>
      </w:r>
      <w:r w:rsidRPr="00D71833">
        <w:t xml:space="preserve"> </w:t>
      </w:r>
      <w:r w:rsidR="00146534" w:rsidRPr="00D71833">
        <w:t xml:space="preserve">This study aims to develop and evaluate deep reinforcement learning models for trading in the gold market. Forecasting gold prices is a complex task influenced by numerous economic and market factors. While previous studies have demonstrated the effectiveness of machine learning in predicting gold prices, they have not provided actionable strategies for investors. This research addresses this gap by exploring deep reinforcement learning models to optimize trading strategies. Historical gold data spanning a decade is used to train and evaluate </w:t>
      </w:r>
      <w:proofErr w:type="gramStart"/>
      <w:r w:rsidR="00146534" w:rsidRPr="00D71833">
        <w:t>the models</w:t>
      </w:r>
      <w:proofErr w:type="gramEnd"/>
      <w:r w:rsidR="00146534" w:rsidRPr="00D71833">
        <w:t xml:space="preserve">. </w:t>
      </w:r>
      <w:r w:rsidR="00D56759" w:rsidRPr="00D71833">
        <w:t>D</w:t>
      </w:r>
      <w:r w:rsidR="00146534" w:rsidRPr="00D71833">
        <w:t>eep learning models Transformer—are combined with reinforcement learning models—Proximal Policy Optimization (PPO)</w:t>
      </w:r>
      <w:r w:rsidR="000D151A" w:rsidRPr="00D71833">
        <w:t xml:space="preserve"> </w:t>
      </w:r>
      <w:r w:rsidR="00146534" w:rsidRPr="00D71833">
        <w:t>to create deep reinforcement learning models. The models' performance will be evaluated using Cumulative Return, Sharpe Ratio, and Maximum Drawdown. The findings will contribute to the optimization of stock trading strategies through deep reinforcement learning and offer a structured approach to addressing financial market complexities.</w:t>
      </w:r>
    </w:p>
    <w:p w14:paraId="5240E3FB" w14:textId="685FA5F3" w:rsidR="003A287B" w:rsidRPr="00D71833" w:rsidRDefault="00146534" w:rsidP="00A451CC">
      <w:pPr>
        <w:pStyle w:val="Heading1"/>
      </w:pPr>
      <w:r w:rsidRPr="00D71833">
        <w:t>IntroDUCTION</w:t>
      </w:r>
    </w:p>
    <w:p w14:paraId="43C655EA" w14:textId="1541A5BC" w:rsidR="007960AD" w:rsidRPr="00D71833" w:rsidRDefault="00A2413F" w:rsidP="00A451CC">
      <w:pPr>
        <w:pStyle w:val="Paragraph"/>
      </w:pPr>
      <w:r w:rsidRPr="00D71833">
        <w:t xml:space="preserve">Gold has been a historical asset and </w:t>
      </w:r>
      <w:proofErr w:type="gramStart"/>
      <w:r w:rsidRPr="00D71833">
        <w:t>a safe haven</w:t>
      </w:r>
      <w:proofErr w:type="gramEnd"/>
      <w:r w:rsidRPr="00D71833">
        <w:t xml:space="preserve"> in times of economic and geopolitical instability. The interaction of supply and demand is the underlying factor that determines its price and the factors that affect this interaction are not limited to financial markets alone but other factors like industrial use in technology, jewelry use and central bank buying. There are numerous modern and traditional ways that investors can participate in gold trading, such as physical gold bullion, very liquid gold exchange-traded funds, and more speculative means such as futures and options contracts. This variety </w:t>
      </w:r>
      <w:proofErr w:type="gramStart"/>
      <w:r w:rsidRPr="00D71833">
        <w:t>in</w:t>
      </w:r>
      <w:proofErr w:type="gramEnd"/>
      <w:r w:rsidRPr="00D71833">
        <w:t xml:space="preserve"> </w:t>
      </w:r>
      <w:r w:rsidR="007960AD" w:rsidRPr="00D71833">
        <w:t>investment</w:t>
      </w:r>
      <w:r w:rsidRPr="00D71833">
        <w:t xml:space="preserve"> methods and avenues, ranging between long-term holding to short-term day trading, enables the investors to put their strategy accordingly, in line with their own financial objectives. Nevertheless, the gold market is complex and volatile which presents a challenge. The price of gold is notoriously hard to forecast due to a non-linear interplay of variables such as inflation, interest rates and the value of the U.S. dollar, which is the currency in which gold is usually priced. An appreciation in the dollar, such as the case, may render gold to be more costly to foreigners, and this may lead to a decline in demand and consequent price decline. Sudden international developments, such as pandemics, geopolitical tensions, and other events, can also cause sharp and unpredictable price changes, frequently producing a knock-on effect in several financial markets. That being the case, conventional statistical models and predictive algorithms </w:t>
      </w:r>
      <w:proofErr w:type="gramStart"/>
      <w:r w:rsidRPr="00D71833">
        <w:t>are not able to</w:t>
      </w:r>
      <w:proofErr w:type="gramEnd"/>
      <w:r w:rsidRPr="00D71833">
        <w:t xml:space="preserve"> keep up with the changing market dynamics. This has caused an increased interest in more complex AI methods, especially Deep Reinforcement Learning (DRL). The difference between DRL and other price predictors is </w:t>
      </w:r>
      <w:proofErr w:type="gramStart"/>
      <w:r w:rsidRPr="00D71833">
        <w:t>that,</w:t>
      </w:r>
      <w:proofErr w:type="gramEnd"/>
      <w:r w:rsidRPr="00D71833">
        <w:t xml:space="preserve"> DRL does not only predict prices, but rather learns to make the best, sequential trading decisions in </w:t>
      </w:r>
      <w:proofErr w:type="gramStart"/>
      <w:r w:rsidRPr="00D71833">
        <w:t>real-time</w:t>
      </w:r>
      <w:proofErr w:type="gramEnd"/>
      <w:r w:rsidRPr="00D71833">
        <w:t xml:space="preserve">. A DRL agent can learn to maximize returns by trading in the market environment and getting feedback in the form of rewards or penalties. The method enables the system to adjust to the complicated, dynamic character of the gold market better than traditional practices. </w:t>
      </w:r>
      <w:r w:rsidR="007960AD" w:rsidRPr="00D71833">
        <w:t xml:space="preserve">Although promising, there are </w:t>
      </w:r>
      <w:proofErr w:type="gramStart"/>
      <w:r w:rsidR="007960AD" w:rsidRPr="00D71833">
        <w:t>a number of</w:t>
      </w:r>
      <w:proofErr w:type="gramEnd"/>
      <w:r w:rsidR="007960AD" w:rsidRPr="00D71833">
        <w:t xml:space="preserve"> obstacles that challenge the use of DRL in gold trading. The key issues are ensuring the quality of data, creating generalizable and robust models that can be applied in different market conditions, and increasing the interpretability of models to create trust. These problems need to be addressed to come up with dependable and efficient AI-powered trading systems capable of overcoming the complexity of the gold market.</w:t>
      </w:r>
    </w:p>
    <w:p w14:paraId="2ADAD331" w14:textId="77777777" w:rsidR="007960AD" w:rsidRPr="00D71833" w:rsidRDefault="007960AD" w:rsidP="00A451CC">
      <w:pPr>
        <w:pStyle w:val="Paragraph"/>
      </w:pPr>
    </w:p>
    <w:p w14:paraId="35DC0772" w14:textId="52CED40A" w:rsidR="0026635E" w:rsidRPr="00D71833" w:rsidRDefault="0026635E" w:rsidP="00A451CC">
      <w:pPr>
        <w:pStyle w:val="Paragraph"/>
        <w:ind w:firstLine="0"/>
      </w:pPr>
    </w:p>
    <w:p w14:paraId="0A6E07CA" w14:textId="5282CA99" w:rsidR="00D92EAB" w:rsidRPr="00D71833" w:rsidRDefault="00D92EAB" w:rsidP="00A451CC">
      <w:pPr>
        <w:pStyle w:val="Heading1"/>
      </w:pPr>
      <w:r w:rsidRPr="00D71833">
        <w:lastRenderedPageBreak/>
        <w:t>RELAted work</w:t>
      </w:r>
    </w:p>
    <w:p w14:paraId="2FEAAFAB" w14:textId="7AB2C84C" w:rsidR="00831E9C" w:rsidRPr="00D71833" w:rsidRDefault="00FA7384" w:rsidP="00DA060F">
      <w:pPr>
        <w:pStyle w:val="Paragraph"/>
        <w:ind w:firstLine="288"/>
      </w:pPr>
      <w:r w:rsidRPr="00D71833">
        <w:t xml:space="preserve">The challenges overcome by traditional </w:t>
      </w:r>
      <w:r w:rsidR="00D47211" w:rsidRPr="00D71833">
        <w:t>Recurrent Neural Network</w:t>
      </w:r>
      <w:r w:rsidRPr="00D71833">
        <w:t xml:space="preserve"> such as the problem with vanishing gradients led to the development of </w:t>
      </w:r>
      <w:r w:rsidR="00E46929" w:rsidRPr="00D71833">
        <w:t xml:space="preserve">Long </w:t>
      </w:r>
      <w:proofErr w:type="gramStart"/>
      <w:r w:rsidR="00E46929" w:rsidRPr="00D71833">
        <w:t>Short Term</w:t>
      </w:r>
      <w:proofErr w:type="gramEnd"/>
      <w:r w:rsidR="00E46929" w:rsidRPr="00D71833">
        <w:t xml:space="preserve"> Memory </w:t>
      </w:r>
      <w:r w:rsidRPr="00D71833">
        <w:t xml:space="preserve">networks first introduced by Hochreiter and </w:t>
      </w:r>
      <w:proofErr w:type="spellStart"/>
      <w:r w:rsidRPr="00D71833">
        <w:t>Schmidhuber</w:t>
      </w:r>
      <w:proofErr w:type="spellEnd"/>
      <w:r w:rsidRPr="00D71833">
        <w:t xml:space="preserve"> in 1997. To do so, the model has a gating mechanism that determines the flow of information in a memory cell, ensuring that important data is kept over long</w:t>
      </w:r>
      <w:r w:rsidR="00CD4303" w:rsidRPr="00D71833">
        <w:t xml:space="preserve"> </w:t>
      </w:r>
      <w:r w:rsidRPr="00D71833">
        <w:t xml:space="preserve">sequences </w:t>
      </w:r>
      <w:r w:rsidR="000877AC" w:rsidRPr="00D71833">
        <w:t>[1]</w:t>
      </w:r>
      <w:r w:rsidRPr="00D71833">
        <w:t>. In Dhuhita et al.</w:t>
      </w:r>
      <w:r w:rsidR="005E4F06" w:rsidRPr="00D71833">
        <w:t xml:space="preserve"> </w:t>
      </w:r>
      <w:r w:rsidR="00142901" w:rsidRPr="00D71833">
        <w:t>[2]</w:t>
      </w:r>
      <w:r w:rsidRPr="00D71833">
        <w:t xml:space="preserve">, LSTM was applied for gold price prediction on historical data from Yahoo Finance. They used hyperparameter tuning with grid search to tune the architecture of the model, a big decrease in </w:t>
      </w:r>
      <w:r w:rsidR="00EC699E" w:rsidRPr="00D71833">
        <w:t>Root mean square</w:t>
      </w:r>
      <w:r w:rsidR="00052A8B" w:rsidRPr="00D71833">
        <w:t xml:space="preserve"> (RMSE)</w:t>
      </w:r>
      <w:r w:rsidR="00EC699E" w:rsidRPr="00D71833">
        <w:t xml:space="preserve"> de</w:t>
      </w:r>
      <w:r w:rsidR="00CC5037" w:rsidRPr="00D71833">
        <w:t>viation</w:t>
      </w:r>
      <w:r w:rsidRPr="00D71833">
        <w:t xml:space="preserve"> (0.00033). Other than that, Transformer-based models offer an alternative by capturing intricate relationships within historical price data through self-attention mechanisms. Kumar and Rizk</w:t>
      </w:r>
      <w:r w:rsidR="005E4F06" w:rsidRPr="00D71833">
        <w:t xml:space="preserve"> [3]</w:t>
      </w:r>
      <w:r w:rsidRPr="00D71833">
        <w:t xml:space="preserve"> proposed a Transformer-based Reinforcement Learning Model for Optimized Quantitative Trading, which integrates a Transformer encoder-decoder network for stock price prediction with a reinforcement learning agent that optimizes trading strategies. Further advancements in multi-Transformer networks have been proposed to improve </w:t>
      </w:r>
      <w:r w:rsidR="003B67AD" w:rsidRPr="00D71833">
        <w:t>Deep Reinforcement Learning</w:t>
      </w:r>
      <w:r w:rsidRPr="00D71833">
        <w:t>-based trading strategies. Next, for deep learning methods, particularly reinforcement learning, have revolutionized decision-making in financial markets by enabling autonomous systems to decide whether to buy, hold, or sell assets</w:t>
      </w:r>
      <w:r w:rsidR="00D9087F" w:rsidRPr="00D71833">
        <w:t xml:space="preserve"> [4]</w:t>
      </w:r>
      <w:r w:rsidRPr="00D71833">
        <w:t xml:space="preserve">. </w:t>
      </w:r>
      <w:proofErr w:type="spellStart"/>
      <w:r w:rsidR="004F5946" w:rsidRPr="00D71833">
        <w:t>Ekarittikrai</w:t>
      </w:r>
      <w:proofErr w:type="spellEnd"/>
      <w:r w:rsidR="004F5946" w:rsidRPr="00D71833">
        <w:t xml:space="preserve"> and </w:t>
      </w:r>
      <w:proofErr w:type="spellStart"/>
      <w:proofErr w:type="gramStart"/>
      <w:r w:rsidR="004F5946" w:rsidRPr="00D71833">
        <w:t>Rattagagan</w:t>
      </w:r>
      <w:proofErr w:type="spellEnd"/>
      <w:r w:rsidR="004F5946" w:rsidRPr="00D71833">
        <w:t xml:space="preserve"> </w:t>
      </w:r>
      <w:r w:rsidR="00EB3F27" w:rsidRPr="00D71833">
        <w:t>[</w:t>
      </w:r>
      <w:r w:rsidR="00D9087F" w:rsidRPr="00D71833">
        <w:t>5</w:t>
      </w:r>
      <w:r w:rsidR="00EB3F27" w:rsidRPr="00D71833">
        <w:t>]</w:t>
      </w:r>
      <w:proofErr w:type="gramEnd"/>
      <w:r w:rsidR="004F5946" w:rsidRPr="00D71833">
        <w:t xml:space="preserve"> proposed a market making strategy enhancement using PPO and A2C algorithms with Avellaneda-</w:t>
      </w:r>
      <w:proofErr w:type="spellStart"/>
      <w:r w:rsidR="004F5946" w:rsidRPr="00D71833">
        <w:t>Stoikov</w:t>
      </w:r>
      <w:proofErr w:type="spellEnd"/>
      <w:r w:rsidR="004F5946" w:rsidRPr="00D71833">
        <w:t xml:space="preserve"> model</w:t>
      </w:r>
      <w:r w:rsidR="00EB3F27" w:rsidRPr="00D71833">
        <w:t xml:space="preserve">. </w:t>
      </w:r>
      <w:r w:rsidRPr="00D71833">
        <w:t>Suliman et al.</w:t>
      </w:r>
      <w:r w:rsidR="00EE004D" w:rsidRPr="00D71833">
        <w:t xml:space="preserve"> </w:t>
      </w:r>
      <w:r w:rsidR="0038701F" w:rsidRPr="00D71833">
        <w:t>[</w:t>
      </w:r>
      <w:r w:rsidR="00D9087F" w:rsidRPr="00D71833">
        <w:t>6</w:t>
      </w:r>
      <w:r w:rsidR="0038701F" w:rsidRPr="00D71833">
        <w:t>]</w:t>
      </w:r>
      <w:r w:rsidRPr="00D71833">
        <w:t xml:space="preserve"> used the Dueling Deep Q-Network (D</w:t>
      </w:r>
      <w:r w:rsidR="003E35EE" w:rsidRPr="00D71833">
        <w:t>D</w:t>
      </w:r>
      <w:r w:rsidRPr="00D71833">
        <w:t xml:space="preserve">QN) for cryptocurrency trading. Zhao et al. </w:t>
      </w:r>
      <w:r w:rsidR="00CB4F4F" w:rsidRPr="00D71833">
        <w:t>[</w:t>
      </w:r>
      <w:r w:rsidR="00D9087F" w:rsidRPr="00D71833">
        <w:t>7</w:t>
      </w:r>
      <w:r w:rsidR="00CB4F4F" w:rsidRPr="00D71833">
        <w:t xml:space="preserve">] </w:t>
      </w:r>
      <w:r w:rsidRPr="00D71833">
        <w:t xml:space="preserve">applied DRL on </w:t>
      </w:r>
      <w:proofErr w:type="gramStart"/>
      <w:r w:rsidRPr="00D71833">
        <w:t>the real</w:t>
      </w:r>
      <w:proofErr w:type="gramEnd"/>
      <w:r w:rsidRPr="00D71833">
        <w:t xml:space="preserve"> estate with the novel hybrid model via feature extraction combining LSTM and the </w:t>
      </w:r>
      <w:proofErr w:type="spellStart"/>
      <w:r w:rsidRPr="00D71833">
        <w:t>Gramian</w:t>
      </w:r>
      <w:proofErr w:type="spellEnd"/>
      <w:r w:rsidRPr="00D71833">
        <w:t xml:space="preserve"> Angular Field (GAF). This approach allowed the market data to be captured in terms of temporal and spatial relationships, which subsequently led to more profitable trading strategies. It demonstrated DRL’s ability to solve buy, hold and sell decisions in low frequency trading environments.</w:t>
      </w:r>
    </w:p>
    <w:p w14:paraId="087576FE" w14:textId="266315FB" w:rsidR="006271C3" w:rsidRPr="00D71833" w:rsidRDefault="006271C3" w:rsidP="00A451CC">
      <w:pPr>
        <w:pStyle w:val="Heading1"/>
      </w:pPr>
      <w:r w:rsidRPr="00D71833">
        <w:t>Theoretical frameworks</w:t>
      </w:r>
    </w:p>
    <w:p w14:paraId="1CCE2A7E" w14:textId="0F02A66B" w:rsidR="00596536" w:rsidRPr="00D71833" w:rsidRDefault="00D656D6" w:rsidP="00A451CC">
      <w:pPr>
        <w:pStyle w:val="Heading2"/>
      </w:pPr>
      <w:r w:rsidRPr="00D71833">
        <w:t>Deep Learning</w:t>
      </w:r>
      <w:r w:rsidR="006271C3" w:rsidRPr="00D71833">
        <w:t xml:space="preserve"> Model</w:t>
      </w:r>
    </w:p>
    <w:p w14:paraId="0AE9EACC" w14:textId="049F311C" w:rsidR="009A39A5" w:rsidRPr="00D71833" w:rsidRDefault="009A39A5" w:rsidP="00464C88">
      <w:pPr>
        <w:pStyle w:val="Heading3"/>
      </w:pPr>
      <w:r w:rsidRPr="00D71833">
        <w:t>Transformer</w:t>
      </w:r>
    </w:p>
    <w:p w14:paraId="21B76967" w14:textId="1C372E1B" w:rsidR="70C50735" w:rsidRPr="00D71833" w:rsidRDefault="00FA7384" w:rsidP="00DA060F">
      <w:pPr>
        <w:pStyle w:val="Paragraph"/>
        <w:ind w:firstLine="288"/>
      </w:pPr>
      <w:r w:rsidRPr="00D71833">
        <w:t xml:space="preserve">The Transformer model is a deep learning architecture designed to handle sequential data efficiently by leveraging a mechanism called self-attention. The Transformer has revolutionized natural language processing (NLP) and time-series forecasting by enabling parallel computation and capturing long-range dependencies more effectively than traditional recurrent architectures like LSTMs and </w:t>
      </w:r>
      <w:r w:rsidR="003502C2" w:rsidRPr="00D71833">
        <w:t>Gated Recurrent Unit (</w:t>
      </w:r>
      <w:r w:rsidRPr="00D71833">
        <w:t>GRU</w:t>
      </w:r>
      <w:r w:rsidR="006E0F7F" w:rsidRPr="00D71833">
        <w:t>)</w:t>
      </w:r>
      <w:r w:rsidRPr="00D71833">
        <w:t>. Unlike Recurrent Neural Networks (RNNs), which process data sequentially, Transformers allow simultaneous processing of all time steps, making them significantly faster and more scalable for large datasets. There are two main components in the Transformer architecture, namely encoder and decoder, which are each composed of multiple layers of self-attention mechanisms and feed forward neural networks</w:t>
      </w:r>
      <w:r w:rsidR="00BF344E" w:rsidRPr="00D71833">
        <w:t xml:space="preserve"> </w:t>
      </w:r>
      <w:r w:rsidR="0038701F" w:rsidRPr="00D71833">
        <w:t>[</w:t>
      </w:r>
      <w:r w:rsidR="00D9087F" w:rsidRPr="00D71833">
        <w:t>2</w:t>
      </w:r>
      <w:r w:rsidR="0038701F" w:rsidRPr="00D71833">
        <w:t>]</w:t>
      </w:r>
      <w:r w:rsidRPr="00D71833">
        <w:t>.</w:t>
      </w:r>
    </w:p>
    <w:p w14:paraId="4EDB5933" w14:textId="7866F91C" w:rsidR="0000013B" w:rsidRPr="00D71833" w:rsidRDefault="00D656D6" w:rsidP="00A451CC">
      <w:pPr>
        <w:pStyle w:val="Heading2"/>
      </w:pPr>
      <w:r w:rsidRPr="00D71833">
        <w:t>Reinforcement Learning</w:t>
      </w:r>
      <w:r w:rsidR="006271C3" w:rsidRPr="00D71833">
        <w:t xml:space="preserve"> Model</w:t>
      </w:r>
    </w:p>
    <w:p w14:paraId="5D3A6BA8" w14:textId="1C498917" w:rsidR="003B5DE5" w:rsidRPr="00D71833" w:rsidRDefault="003B5DE5" w:rsidP="00464C88">
      <w:pPr>
        <w:pStyle w:val="Heading3"/>
      </w:pPr>
      <w:r w:rsidRPr="00D71833">
        <w:t>Proximal Policy Optimization (PPO)</w:t>
      </w:r>
    </w:p>
    <w:p w14:paraId="5B081FA6" w14:textId="781A851F" w:rsidR="00F6431D" w:rsidRPr="00D71833" w:rsidRDefault="005D0CFD" w:rsidP="00DA060F">
      <w:pPr>
        <w:pStyle w:val="Paragraph"/>
        <w:ind w:firstLine="288"/>
      </w:pPr>
      <w:r w:rsidRPr="00D71833">
        <w:t>The goal of Policy Gradient Methods is to directly optimize the policy, i.e. by maximizing the expected reward. Nevertheless, they tend to be unstable and inefficiently learn because of either large or uncontrolled policy updates. Proximal Policy Optimization (PPO) solves these problems by adding a clipped objective function that constrains the amount of policy change during each update. This enhances stability in learning and eliminates radical policy change, which may result in a deterioration of performance. PPO is best suited to financial market forecasting since it can handle continuous decision making (e.g. adjustment of investment positions) and live with volatile markets. It ensures stable learning even in those environments where the uncertainty is high, and it is quite appropriate in financial forecasting and optimization of trading strategies due to its stability [</w:t>
      </w:r>
      <w:r w:rsidR="00D9087F" w:rsidRPr="00D71833">
        <w:t>8</w:t>
      </w:r>
      <w:r w:rsidRPr="00D71833">
        <w:t>]</w:t>
      </w:r>
      <w:r w:rsidR="00F7576B" w:rsidRPr="00D71833">
        <w:t>.</w:t>
      </w:r>
    </w:p>
    <w:p w14:paraId="092EA707" w14:textId="104AC7A8" w:rsidR="00AD5B2C" w:rsidRPr="00D71833" w:rsidRDefault="00EA268C" w:rsidP="00A451CC">
      <w:pPr>
        <w:pStyle w:val="Heading2"/>
      </w:pPr>
      <w:r w:rsidRPr="00D71833">
        <w:t>Technical Indicators</w:t>
      </w:r>
    </w:p>
    <w:p w14:paraId="28D3720C" w14:textId="7E0CCB7B" w:rsidR="005574F0" w:rsidRPr="00D71833" w:rsidRDefault="0036794E" w:rsidP="00A451CC">
      <w:pPr>
        <w:pStyle w:val="Paragraph"/>
      </w:pPr>
      <w:r w:rsidRPr="00D71833">
        <w:t xml:space="preserve">Two basic methods of smoothing financial time series and </w:t>
      </w:r>
      <w:proofErr w:type="spellStart"/>
      <w:r w:rsidRPr="00D71833">
        <w:t>emphasising</w:t>
      </w:r>
      <w:proofErr w:type="spellEnd"/>
      <w:r w:rsidRPr="00D71833">
        <w:t xml:space="preserve"> longer-term trends are simple moving averages (SMA) and exponential moving averages (EMA). The SMA of period n is merely the arithmetic mean of the </w:t>
      </w:r>
      <w:r w:rsidRPr="00D71833">
        <w:lastRenderedPageBreak/>
        <w:t xml:space="preserve">last n data points, which smooths daily volatility by assigning the same weight to each observation </w:t>
      </w:r>
      <w:r w:rsidR="00F7576B" w:rsidRPr="00D71833">
        <w:t>[</w:t>
      </w:r>
      <w:r w:rsidR="00D9087F" w:rsidRPr="00D71833">
        <w:t>9</w:t>
      </w:r>
      <w:r w:rsidR="00F7576B" w:rsidRPr="00D71833">
        <w:t xml:space="preserve">]. </w:t>
      </w:r>
      <w:r w:rsidRPr="00D71833">
        <w:t>In comparison, the EMA exponentially down-weights the older observations, and thus is more sensitive to price movements in the recent past [</w:t>
      </w:r>
      <w:r w:rsidR="00D9087F" w:rsidRPr="00D71833">
        <w:t>5</w:t>
      </w:r>
      <w:r w:rsidRPr="00D71833">
        <w:t>]. The moving average convergence divergence</w:t>
      </w:r>
      <w:r w:rsidR="004162E3" w:rsidRPr="00D71833">
        <w:t xml:space="preserve"> </w:t>
      </w:r>
      <w:r w:rsidRPr="00D71833">
        <w:t xml:space="preserve">indicator builds on EMAs by calculating the difference between two EMAs, 12-day minus 26-day, to measure the strength and direction of a trend, and a 9-day EMA of the difference is used as a so-called signal line whose crossings are used </w:t>
      </w:r>
      <w:r w:rsidR="00115E8C" w:rsidRPr="00D71833">
        <w:t>to</w:t>
      </w:r>
      <w:r w:rsidRPr="00D71833">
        <w:t xml:space="preserve"> buy or sell signals</w:t>
      </w:r>
      <w:r w:rsidR="0028622E" w:rsidRPr="00D71833">
        <w:t>.</w:t>
      </w:r>
      <w:r w:rsidR="00B64BC6" w:rsidRPr="00D71833">
        <w:t xml:space="preserve"> </w:t>
      </w:r>
    </w:p>
    <w:p w14:paraId="0F46DDB8" w14:textId="1A79D0C3" w:rsidR="00131C21" w:rsidRPr="00D71833" w:rsidRDefault="00131C21" w:rsidP="00A451CC">
      <w:pPr>
        <w:pStyle w:val="Heading2"/>
      </w:pPr>
      <w:r w:rsidRPr="00D71833">
        <w:t>Decision-Making Framework (Buy, Hold, Sell)</w:t>
      </w:r>
    </w:p>
    <w:p w14:paraId="489359FA" w14:textId="7EF16601" w:rsidR="00553FC3" w:rsidRPr="00D71833" w:rsidRDefault="00293B2F" w:rsidP="00A451CC">
      <w:pPr>
        <w:pStyle w:val="Paragraph"/>
      </w:pPr>
      <w:r w:rsidRPr="00D71833">
        <w:t xml:space="preserve">The state inputs generated by the deep learning model underlying the </w:t>
      </w:r>
      <w:r w:rsidR="00115E8C" w:rsidRPr="00D71833">
        <w:t>decision-making</w:t>
      </w:r>
      <w:r w:rsidRPr="00D71833">
        <w:t xml:space="preserve"> framework of a deep reinforcement learning (DRL) trading agent are used to select between three fundamental actions of buy, sell or hold based on whether the model predicts an upwards movement, a downwards movement or the neutral/uncertain state of the market. When the agent decides to purchase, it will either get into or add to its position in the expectation of an upward movement in prices; when it decides to sell, it will liquidate or decrease its position in the expectation of a downward movement; and when it sits, it will continue with the current position in the absence of a clear indication. </w:t>
      </w:r>
      <w:r w:rsidR="00760AF6" w:rsidRPr="00D71833">
        <w:t>After each action, the agent receives a reward signal</w:t>
      </w:r>
      <w:r w:rsidR="00115E8C" w:rsidRPr="00D71833">
        <w:t xml:space="preserve"> </w:t>
      </w:r>
      <w:r w:rsidR="00760AF6" w:rsidRPr="00D71833">
        <w:t>positive for profitable trades and negative for losses or suboptimal decisions—which it uses to update its policy via reinforcement learning. Over time, this reward‐driven feedback loop enables the agent to refine its strategy, gradually improving its ability to capitalize on market movements.</w:t>
      </w:r>
    </w:p>
    <w:p w14:paraId="0F264B73" w14:textId="21874694" w:rsidR="003B5DE5" w:rsidRPr="00D71833" w:rsidRDefault="003B5DE5" w:rsidP="00A451CC">
      <w:pPr>
        <w:pStyle w:val="Heading1"/>
      </w:pPr>
      <w:r w:rsidRPr="00D71833">
        <w:t>METHODOLOGY</w:t>
      </w:r>
    </w:p>
    <w:p w14:paraId="1207285F" w14:textId="77777777" w:rsidR="00DA060F" w:rsidRPr="00D71833" w:rsidRDefault="00DA060F" w:rsidP="00DA060F">
      <w:pPr>
        <w:pStyle w:val="Paragraph"/>
      </w:pPr>
      <w:r w:rsidRPr="00D71833">
        <w:t xml:space="preserve">Figure 1 illustrates the research methodology for this project. The research begins with a defined Research Methodology, followed by Data Collection to prepare the information. Feature Engineering creates new variables, and Exploratory Data Analysis helps understand the data before Feature Selection identifies key inputs. For time-based data, a Sequential Train-Test Split is used. Deep Learning for Price Prediction builds forecasting models, which then inform DRL for Trading Decisions, where an agent learns to trade. </w:t>
      </w:r>
      <w:proofErr w:type="spellStart"/>
      <w:r w:rsidRPr="00D71833">
        <w:t>Optuna</w:t>
      </w:r>
      <w:proofErr w:type="spellEnd"/>
      <w:r w:rsidRPr="00D71833">
        <w:t xml:space="preserve"> hyperparameter fine-tunes the trading agent, and finally, Result Analysis evaluates the outcomes, concluding the research.</w:t>
      </w:r>
    </w:p>
    <w:p w14:paraId="5DAB5C77" w14:textId="77777777" w:rsidR="00DA060F" w:rsidRPr="00D71833" w:rsidRDefault="00DA060F" w:rsidP="00DA060F">
      <w:pPr>
        <w:pStyle w:val="Paragraph"/>
      </w:pPr>
    </w:p>
    <w:p w14:paraId="3CF9B210" w14:textId="4B282E1F" w:rsidR="0059401F" w:rsidRPr="00D71833" w:rsidRDefault="003D5A92" w:rsidP="00A451CC">
      <w:pPr>
        <w:pStyle w:val="Paragraph"/>
        <w:keepNext/>
        <w:ind w:firstLine="0"/>
        <w:jc w:val="center"/>
      </w:pPr>
      <w:r w:rsidRPr="00D71833">
        <w:rPr>
          <w:noProof/>
        </w:rPr>
        <w:t xml:space="preserve"> </w:t>
      </w:r>
      <w:r w:rsidR="00AB0536" w:rsidRPr="00D71833">
        <w:rPr>
          <w:noProof/>
        </w:rPr>
        <w:drawing>
          <wp:inline distT="0" distB="0" distL="0" distR="0" wp14:anchorId="245E1200" wp14:editId="5F13AFB3">
            <wp:extent cx="4756956" cy="3840480"/>
            <wp:effectExtent l="19050" t="19050" r="24765" b="26670"/>
            <wp:docPr id="1001840609" name="Picture 1" descr="A diagram of a software development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40609" name="Picture 1" descr="A diagram of a software development process&#10;&#10;AI-generated content may be incorrect."/>
                    <pic:cNvPicPr/>
                  </pic:nvPicPr>
                  <pic:blipFill rotWithShape="1">
                    <a:blip r:embed="rId12"/>
                    <a:srcRect l="3325" t="3417" r="2922" b="4010"/>
                    <a:stretch>
                      <a:fillRect/>
                    </a:stretch>
                  </pic:blipFill>
                  <pic:spPr bwMode="auto">
                    <a:xfrm>
                      <a:off x="0" y="0"/>
                      <a:ext cx="4756956" cy="3840480"/>
                    </a:xfrm>
                    <a:prstGeom prst="rect">
                      <a:avLst/>
                    </a:prstGeom>
                    <a:ln w="6350">
                      <a:solidFill>
                        <a:schemeClr val="tx1"/>
                      </a:solidFill>
                    </a:ln>
                    <a:extLst>
                      <a:ext uri="{53640926-AAD7-44D8-BBD7-CCE9431645EC}">
                        <a14:shadowObscured xmlns:a14="http://schemas.microsoft.com/office/drawing/2010/main"/>
                      </a:ext>
                    </a:extLst>
                  </pic:spPr>
                </pic:pic>
              </a:graphicData>
            </a:graphic>
          </wp:inline>
        </w:drawing>
      </w:r>
    </w:p>
    <w:p w14:paraId="09EA8340" w14:textId="2F6BA85F" w:rsidR="0059401F" w:rsidRPr="00D71833" w:rsidRDefault="0059401F" w:rsidP="00A451CC">
      <w:pPr>
        <w:pStyle w:val="TableCaption"/>
        <w:rPr>
          <w:sz w:val="16"/>
          <w:szCs w:val="16"/>
        </w:rPr>
      </w:pPr>
      <w:r w:rsidRPr="00D71833">
        <w:rPr>
          <w:b/>
          <w:bCs/>
        </w:rPr>
        <w:t>F</w:t>
      </w:r>
      <w:r w:rsidR="00A451CC" w:rsidRPr="00D71833">
        <w:rPr>
          <w:b/>
          <w:bCs/>
        </w:rPr>
        <w:t>IGURE</w:t>
      </w:r>
      <w:r w:rsidRPr="00D71833">
        <w:rPr>
          <w:b/>
          <w:bCs/>
        </w:rPr>
        <w:t xml:space="preserve"> 1.</w:t>
      </w:r>
      <w:r w:rsidRPr="00D71833">
        <w:t xml:space="preserve"> Research </w:t>
      </w:r>
      <w:r w:rsidR="000E627E" w:rsidRPr="00D71833">
        <w:t>o</w:t>
      </w:r>
      <w:r w:rsidRPr="00D71833">
        <w:t>verview</w:t>
      </w:r>
    </w:p>
    <w:p w14:paraId="7371BD7D" w14:textId="77777777" w:rsidR="005874C1" w:rsidRPr="00D71833" w:rsidRDefault="005874C1" w:rsidP="00A451CC">
      <w:pPr>
        <w:pStyle w:val="TableCaption"/>
        <w:rPr>
          <w:sz w:val="2"/>
          <w:szCs w:val="2"/>
        </w:rPr>
      </w:pPr>
    </w:p>
    <w:p w14:paraId="2C31CD5A" w14:textId="08DF547C" w:rsidR="0059401F" w:rsidRPr="00D71833" w:rsidRDefault="0059401F" w:rsidP="00A451CC">
      <w:pPr>
        <w:pStyle w:val="Heading2"/>
      </w:pPr>
      <w:r w:rsidRPr="00D71833">
        <w:lastRenderedPageBreak/>
        <w:t>Data Collection</w:t>
      </w:r>
    </w:p>
    <w:p w14:paraId="63B9ACDF" w14:textId="605C2F41" w:rsidR="0059401F" w:rsidRPr="00D71833" w:rsidRDefault="2B109934" w:rsidP="00A451CC">
      <w:pPr>
        <w:pStyle w:val="Paragraph"/>
      </w:pPr>
      <w:r w:rsidRPr="00D71833">
        <w:t>The d</w:t>
      </w:r>
      <w:r w:rsidR="0059401F" w:rsidRPr="00D71833">
        <w:t xml:space="preserve">ataset used in this study </w:t>
      </w:r>
      <w:r w:rsidR="1C91E4F9" w:rsidRPr="00D71833">
        <w:t>is a dataset that contains</w:t>
      </w:r>
      <w:r w:rsidR="0059401F" w:rsidRPr="00D71833">
        <w:t xml:space="preserve"> historical gold </w:t>
      </w:r>
      <w:r w:rsidR="5B1D6DB9" w:rsidRPr="00D71833">
        <w:t>prices</w:t>
      </w:r>
      <w:r w:rsidR="6F80D3AA" w:rsidRPr="00D71833">
        <w:t>.</w:t>
      </w:r>
      <w:r w:rsidR="0059401F" w:rsidRPr="00D71833">
        <w:t xml:space="preserve"> </w:t>
      </w:r>
      <w:r w:rsidR="0A02E80A" w:rsidRPr="00D71833">
        <w:t xml:space="preserve">The </w:t>
      </w:r>
      <w:r w:rsidR="0059401F" w:rsidRPr="00D71833">
        <w:t>dataset w</w:t>
      </w:r>
      <w:r w:rsidR="3F26628A" w:rsidRPr="00D71833">
        <w:t>as</w:t>
      </w:r>
      <w:r w:rsidR="0059401F" w:rsidRPr="00D71833">
        <w:t xml:space="preserve"> spanned from 28th January 2015 to 1st January 2025 (10 years) to ensure the size of dataset is </w:t>
      </w:r>
      <w:r w:rsidR="0BEF5C45" w:rsidRPr="00D71833">
        <w:t>large</w:t>
      </w:r>
      <w:r w:rsidR="0059401F" w:rsidRPr="00D71833">
        <w:t xml:space="preserve"> enough to be </w:t>
      </w:r>
      <w:proofErr w:type="spellStart"/>
      <w:r w:rsidR="0059401F" w:rsidRPr="00D71833">
        <w:t>analysed</w:t>
      </w:r>
      <w:proofErr w:type="spellEnd"/>
      <w:r w:rsidR="0059401F" w:rsidRPr="00D71833">
        <w:t xml:space="preserve">. The gold price is obtained from </w:t>
      </w:r>
      <w:r w:rsidR="14208E34" w:rsidRPr="00D71833">
        <w:t xml:space="preserve">public </w:t>
      </w:r>
      <w:proofErr w:type="gramStart"/>
      <w:r w:rsidR="14208E34" w:rsidRPr="00D71833">
        <w:t>site</w:t>
      </w:r>
      <w:proofErr w:type="gramEnd"/>
      <w:r w:rsidR="0059401F" w:rsidRPr="00D71833">
        <w:t xml:space="preserve"> and consists of the date, open, high, low, close, adjusted close, and volume. An initial validation of the data was performed on collection, which involved verifying the integrity and accuracy of the data, to ensure that the data accurately reflects the gold price chosen. In this research project, the chosen integrated development environment (IDE) is </w:t>
      </w:r>
      <w:proofErr w:type="spellStart"/>
      <w:r w:rsidR="0059401F" w:rsidRPr="00D71833">
        <w:t>Jupyter</w:t>
      </w:r>
      <w:proofErr w:type="spellEnd"/>
      <w:r w:rsidR="0059401F" w:rsidRPr="00D71833">
        <w:t xml:space="preserve"> Notebook. </w:t>
      </w:r>
      <w:proofErr w:type="spellStart"/>
      <w:r w:rsidR="0059401F" w:rsidRPr="00D71833">
        <w:t>Jupyter</w:t>
      </w:r>
      <w:proofErr w:type="spellEnd"/>
      <w:r w:rsidR="0059401F" w:rsidRPr="00D71833">
        <w:t xml:space="preserve"> Notebook is an open-source web application that is widely used for data science and machine learning </w:t>
      </w:r>
      <w:proofErr w:type="gramStart"/>
      <w:r w:rsidR="00EF454D" w:rsidRPr="00D71833">
        <w:t>project</w:t>
      </w:r>
      <w:proofErr w:type="gramEnd"/>
      <w:r w:rsidR="00FF2A44" w:rsidRPr="00D71833">
        <w:t>.</w:t>
      </w:r>
    </w:p>
    <w:p w14:paraId="128F868E" w14:textId="04631848" w:rsidR="0059401F" w:rsidRPr="00D71833" w:rsidRDefault="0059401F" w:rsidP="00A451CC">
      <w:pPr>
        <w:pStyle w:val="Heading2"/>
      </w:pPr>
      <w:r w:rsidRPr="00D71833">
        <w:t>Data Preprocessing</w:t>
      </w:r>
    </w:p>
    <w:p w14:paraId="05BA1A1B" w14:textId="188EE971" w:rsidR="00115CC4" w:rsidRPr="00D71833" w:rsidRDefault="00115CC4" w:rsidP="00A451CC">
      <w:pPr>
        <w:pStyle w:val="Paragraph"/>
      </w:pPr>
      <w:r w:rsidRPr="00D71833">
        <w:t xml:space="preserve">Preprocessing of data is a basic component of data analysis and modeling process. It is the process of organizing raw, unstructured and incomplete data into a clean and structured format which is then fit to be </w:t>
      </w:r>
      <w:r w:rsidR="002465A4" w:rsidRPr="00D71833">
        <w:t>analyses</w:t>
      </w:r>
      <w:r w:rsidRPr="00D71833">
        <w:t>. This is done to deal with the usual data problems of missing values, inconsistencies, noise, and irrelevant data to ensure that the resulting dataset is accurate and reliable prior to any additional analytical efforts.</w:t>
      </w:r>
    </w:p>
    <w:p w14:paraId="3897FB04" w14:textId="77777777" w:rsidR="00115CC4" w:rsidRPr="00D71833" w:rsidRDefault="00115CC4" w:rsidP="00A451CC">
      <w:pPr>
        <w:pStyle w:val="Paragraph"/>
      </w:pPr>
      <w:r w:rsidRPr="00D71833">
        <w:t xml:space="preserve">The initial step of preprocessing is the detection and elimination of duplicates and treatment of missing values. With the help of Python functions such as </w:t>
      </w:r>
      <w:proofErr w:type="spellStart"/>
      <w:proofErr w:type="gramStart"/>
      <w:r w:rsidRPr="00D71833">
        <w:t>isnull</w:t>
      </w:r>
      <w:proofErr w:type="spellEnd"/>
      <w:r w:rsidRPr="00D71833">
        <w:t>(</w:t>
      </w:r>
      <w:proofErr w:type="gramEnd"/>
      <w:r w:rsidRPr="00D71833">
        <w:t xml:space="preserve">) and </w:t>
      </w:r>
      <w:proofErr w:type="gramStart"/>
      <w:r w:rsidRPr="00D71833">
        <w:t>duplicated(</w:t>
      </w:r>
      <w:proofErr w:type="gramEnd"/>
      <w:r w:rsidRPr="00D71833">
        <w:t xml:space="preserve">), it is possible to scan the dataset quickly and identify null values and duplicates in every column and row. This is necessary to ensure quality and integrity of the data to be used in training and testing predictive models. Data transformation comes </w:t>
      </w:r>
      <w:proofErr w:type="gramStart"/>
      <w:r w:rsidRPr="00D71833">
        <w:t>next</w:t>
      </w:r>
      <w:proofErr w:type="gramEnd"/>
      <w:r w:rsidRPr="00D71833">
        <w:t xml:space="preserve"> and this is where a transformation of data into consistent and usable formats takes place. As an example, the dates can be re-arranged to eliminate the leading zeros, and the volume numbers that are written in the form of K (to represent thousands) are being converted into the full numeric values by multiplying by 1,000. These changes make all fields in the right format to perform calculations and subsequent analysis.</w:t>
      </w:r>
    </w:p>
    <w:p w14:paraId="6B681899" w14:textId="347A7543" w:rsidR="00D5142F" w:rsidRPr="00D71833" w:rsidRDefault="00115CC4" w:rsidP="00A451CC">
      <w:pPr>
        <w:pStyle w:val="Paragraph"/>
      </w:pPr>
      <w:r w:rsidRPr="00D71833">
        <w:t xml:space="preserve">Lastly, feature engineering is carried out to augment the dataset by generating new features that can assist the models identify the underlying patterns. Technical </w:t>
      </w:r>
      <w:proofErr w:type="gramStart"/>
      <w:r w:rsidRPr="00D71833">
        <w:t>indicators</w:t>
      </w:r>
      <w:proofErr w:type="gramEnd"/>
      <w:r w:rsidRPr="00D71833">
        <w:t xml:space="preserve"> Simple Moving Average (SMA), Exponential Moving Average (EMA), and Moving Average </w:t>
      </w:r>
      <w:proofErr w:type="gramStart"/>
      <w:r w:rsidRPr="00D71833">
        <w:t>Convergence Divergence</w:t>
      </w:r>
      <w:proofErr w:type="gramEnd"/>
      <w:r w:rsidRPr="00D71833">
        <w:t xml:space="preserve"> (MACD) are inserted as new columns in this study. Such indicators can be used to give a good idea about the trend and momentum of the market, and both machine learning and deep reinforcement learning models can use them to make more informed predictions and trading decisions. Any missing values that do occur </w:t>
      </w:r>
      <w:proofErr w:type="gramStart"/>
      <w:r w:rsidRPr="00D71833">
        <w:t>as a result of</w:t>
      </w:r>
      <w:proofErr w:type="gramEnd"/>
      <w:r w:rsidRPr="00D71833">
        <w:t xml:space="preserve"> these calculations, e.g. </w:t>
      </w:r>
      <w:proofErr w:type="gramStart"/>
      <w:r w:rsidRPr="00D71833">
        <w:t>as a result of</w:t>
      </w:r>
      <w:proofErr w:type="gramEnd"/>
      <w:r w:rsidRPr="00D71833">
        <w:t xml:space="preserve"> rolling window calculations, are dealt with in an appropriate manner so that the data remains consistent throughout the </w:t>
      </w:r>
      <w:proofErr w:type="gramStart"/>
      <w:r w:rsidRPr="00D71833">
        <w:t>dataset</w:t>
      </w:r>
      <w:proofErr w:type="gramEnd"/>
      <w:r w:rsidRPr="00D71833">
        <w:t>.</w:t>
      </w:r>
    </w:p>
    <w:p w14:paraId="10BFA6C5" w14:textId="3E943F32" w:rsidR="00AA7953" w:rsidRPr="00D71833" w:rsidRDefault="00AA7953" w:rsidP="00A451CC">
      <w:pPr>
        <w:pStyle w:val="Heading2"/>
      </w:pPr>
      <w:r w:rsidRPr="00D71833">
        <w:t>Deep Reinforcement Learning for Trading</w:t>
      </w:r>
    </w:p>
    <w:p w14:paraId="5075237E" w14:textId="187F1D46" w:rsidR="006D1DD0" w:rsidRPr="00D71833" w:rsidRDefault="00AA7953" w:rsidP="00DA060F">
      <w:pPr>
        <w:pStyle w:val="Paragraph"/>
      </w:pPr>
      <w:r w:rsidRPr="00D71833">
        <w:t>In this project, the model of DRL</w:t>
      </w:r>
      <w:r w:rsidR="005F66A0" w:rsidRPr="00D71833">
        <w:t xml:space="preserve"> is</w:t>
      </w:r>
      <w:r w:rsidRPr="00D71833">
        <w:t xml:space="preserve"> PPO. </w:t>
      </w:r>
      <w:r w:rsidR="00924294" w:rsidRPr="00D71833">
        <w:t>Table 1 shows t</w:t>
      </w:r>
      <w:r w:rsidRPr="00D71833">
        <w:t xml:space="preserve">he trading environment was set where the gold market simulation for the model to interact with the DRL model development. The </w:t>
      </w:r>
      <w:proofErr w:type="gramStart"/>
      <w:r w:rsidRPr="00D71833">
        <w:t>environment</w:t>
      </w:r>
      <w:proofErr w:type="gramEnd"/>
      <w:r w:rsidRPr="00D71833">
        <w:t xml:space="preserve"> platform where the agent </w:t>
      </w:r>
      <w:proofErr w:type="gramStart"/>
      <w:r w:rsidR="78A8B1C5" w:rsidRPr="00D71833">
        <w:t xml:space="preserve">is </w:t>
      </w:r>
      <w:r w:rsidR="004F421D" w:rsidRPr="00D71833">
        <w:t xml:space="preserve">able </w:t>
      </w:r>
      <w:r w:rsidRPr="00D71833">
        <w:t>to</w:t>
      </w:r>
      <w:proofErr w:type="gramEnd"/>
      <w:r w:rsidRPr="00D71833">
        <w:t xml:space="preserve"> learn when to buy, hold or sell choices through the current market state. We introduce the MDP framework which structure</w:t>
      </w:r>
      <w:r w:rsidR="30D2D87C" w:rsidRPr="00D71833">
        <w:t>s</w:t>
      </w:r>
      <w:r w:rsidRPr="00D71833">
        <w:t xml:space="preserve"> the trading environment </w:t>
      </w:r>
      <w:r w:rsidR="14ACE2D8" w:rsidRPr="00D71833">
        <w:t xml:space="preserve">allowing </w:t>
      </w:r>
      <w:proofErr w:type="gramStart"/>
      <w:r w:rsidRPr="00D71833">
        <w:t>agent</w:t>
      </w:r>
      <w:proofErr w:type="gramEnd"/>
      <w:r w:rsidRPr="00D71833">
        <w:t xml:space="preserve"> </w:t>
      </w:r>
      <w:r w:rsidR="14ACE2D8" w:rsidRPr="00D71833">
        <w:t xml:space="preserve">to navigate the </w:t>
      </w:r>
      <w:r w:rsidRPr="00D71833">
        <w:t xml:space="preserve">complexity </w:t>
      </w:r>
      <w:r w:rsidR="14ACE2D8" w:rsidRPr="00D71833">
        <w:t>through</w:t>
      </w:r>
      <w:r w:rsidRPr="00D71833">
        <w:t xml:space="preserve"> decision making under uncertainty. The agent learns to maximize rewards while it learns to adapt to changing market conditions across this framework</w:t>
      </w:r>
      <w:r w:rsidR="00DC5B7E" w:rsidRPr="00D71833">
        <w:t xml:space="preserve">. </w:t>
      </w:r>
      <w:r w:rsidRPr="00D71833">
        <w:t xml:space="preserve">The rest of the sections define the core (trading) </w:t>
      </w:r>
      <w:proofErr w:type="gramStart"/>
      <w:r w:rsidRPr="00D71833">
        <w:t>environment</w:t>
      </w:r>
      <w:proofErr w:type="gramEnd"/>
      <w:r w:rsidRPr="00D71833">
        <w:t xml:space="preserve"> components that may allow the agent to learn and perform effective trading actions.</w:t>
      </w:r>
    </w:p>
    <w:p w14:paraId="478866FC" w14:textId="77777777" w:rsidR="00464C88" w:rsidRPr="00D71833" w:rsidRDefault="00464C88" w:rsidP="00DA060F">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803"/>
      </w:tblGrid>
      <w:tr w:rsidR="00DA060F" w:rsidRPr="00D71833" w14:paraId="7AA49253" w14:textId="77777777" w:rsidTr="00DA060F">
        <w:tc>
          <w:tcPr>
            <w:tcW w:w="9350" w:type="dxa"/>
            <w:gridSpan w:val="2"/>
            <w:tcBorders>
              <w:bottom w:val="single" w:sz="4" w:space="0" w:color="auto"/>
            </w:tcBorders>
          </w:tcPr>
          <w:p w14:paraId="5E443B52" w14:textId="2FFFB8AC" w:rsidR="00DA060F" w:rsidRPr="00D71833" w:rsidRDefault="00DA060F" w:rsidP="00DA060F">
            <w:pPr>
              <w:pStyle w:val="Paragraph"/>
              <w:spacing w:before="120"/>
              <w:ind w:firstLine="0"/>
              <w:jc w:val="center"/>
              <w:rPr>
                <w:b/>
                <w:bCs/>
                <w:sz w:val="18"/>
                <w:szCs w:val="18"/>
              </w:rPr>
            </w:pPr>
            <w:r w:rsidRPr="00D71833">
              <w:rPr>
                <w:b/>
                <w:bCs/>
                <w:sz w:val="18"/>
                <w:szCs w:val="18"/>
              </w:rPr>
              <w:t xml:space="preserve">TABLE </w:t>
            </w:r>
            <w:r w:rsidRPr="00D71833">
              <w:rPr>
                <w:b/>
                <w:bCs/>
                <w:sz w:val="18"/>
                <w:szCs w:val="18"/>
              </w:rPr>
              <w:fldChar w:fldCharType="begin"/>
            </w:r>
            <w:r w:rsidRPr="00D71833">
              <w:rPr>
                <w:b/>
                <w:bCs/>
                <w:sz w:val="18"/>
                <w:szCs w:val="18"/>
              </w:rPr>
              <w:instrText xml:space="preserve"> SEQ Table \* ARABIC </w:instrText>
            </w:r>
            <w:r w:rsidRPr="00D71833">
              <w:rPr>
                <w:b/>
                <w:bCs/>
                <w:sz w:val="18"/>
                <w:szCs w:val="18"/>
              </w:rPr>
              <w:fldChar w:fldCharType="separate"/>
            </w:r>
            <w:r w:rsidR="00A74AE7">
              <w:rPr>
                <w:b/>
                <w:bCs/>
                <w:noProof/>
                <w:sz w:val="18"/>
                <w:szCs w:val="18"/>
              </w:rPr>
              <w:t>1</w:t>
            </w:r>
            <w:r w:rsidRPr="00D71833">
              <w:rPr>
                <w:b/>
                <w:bCs/>
                <w:sz w:val="18"/>
                <w:szCs w:val="18"/>
              </w:rPr>
              <w:fldChar w:fldCharType="end"/>
            </w:r>
            <w:r w:rsidRPr="00D71833">
              <w:rPr>
                <w:b/>
                <w:bCs/>
                <w:sz w:val="18"/>
                <w:szCs w:val="18"/>
              </w:rPr>
              <w:t>.</w:t>
            </w:r>
            <w:r w:rsidRPr="00D71833">
              <w:rPr>
                <w:sz w:val="18"/>
                <w:szCs w:val="18"/>
              </w:rPr>
              <w:t xml:space="preserve"> Components of </w:t>
            </w:r>
            <w:r w:rsidR="000E627E" w:rsidRPr="00D71833">
              <w:rPr>
                <w:sz w:val="18"/>
                <w:szCs w:val="18"/>
              </w:rPr>
              <w:t>t</w:t>
            </w:r>
            <w:r w:rsidRPr="00D71833">
              <w:rPr>
                <w:sz w:val="18"/>
                <w:szCs w:val="18"/>
              </w:rPr>
              <w:t xml:space="preserve">rading </w:t>
            </w:r>
            <w:r w:rsidR="000E627E" w:rsidRPr="00D71833">
              <w:rPr>
                <w:sz w:val="18"/>
                <w:szCs w:val="18"/>
              </w:rPr>
              <w:t>e</w:t>
            </w:r>
            <w:r w:rsidRPr="00D71833">
              <w:rPr>
                <w:sz w:val="18"/>
                <w:szCs w:val="18"/>
              </w:rPr>
              <w:t>nvironments</w:t>
            </w:r>
          </w:p>
        </w:tc>
      </w:tr>
      <w:tr w:rsidR="00AA7953" w:rsidRPr="00D71833" w14:paraId="28150DD5" w14:textId="77777777" w:rsidTr="006D1DD0">
        <w:tc>
          <w:tcPr>
            <w:tcW w:w="2547" w:type="dxa"/>
            <w:tcBorders>
              <w:top w:val="single" w:sz="4" w:space="0" w:color="auto"/>
              <w:bottom w:val="single" w:sz="4" w:space="0" w:color="auto"/>
            </w:tcBorders>
          </w:tcPr>
          <w:p w14:paraId="72EC7562" w14:textId="675ED485" w:rsidR="00AA7953" w:rsidRPr="00D71833" w:rsidRDefault="00AA7953" w:rsidP="00A451CC">
            <w:pPr>
              <w:pStyle w:val="Paragraph"/>
              <w:ind w:firstLine="0"/>
              <w:rPr>
                <w:b/>
                <w:bCs/>
                <w:sz w:val="18"/>
                <w:szCs w:val="18"/>
              </w:rPr>
            </w:pPr>
            <w:r w:rsidRPr="00D71833">
              <w:rPr>
                <w:b/>
                <w:bCs/>
                <w:sz w:val="18"/>
                <w:szCs w:val="18"/>
              </w:rPr>
              <w:t>Components</w:t>
            </w:r>
          </w:p>
        </w:tc>
        <w:tc>
          <w:tcPr>
            <w:tcW w:w="6803" w:type="dxa"/>
            <w:tcBorders>
              <w:top w:val="single" w:sz="4" w:space="0" w:color="auto"/>
              <w:bottom w:val="single" w:sz="4" w:space="0" w:color="auto"/>
            </w:tcBorders>
          </w:tcPr>
          <w:p w14:paraId="74602915" w14:textId="16A73DC7" w:rsidR="00AA7953" w:rsidRPr="00D71833" w:rsidRDefault="00AA7953" w:rsidP="00A451CC">
            <w:pPr>
              <w:pStyle w:val="Paragraph"/>
              <w:ind w:firstLine="0"/>
              <w:rPr>
                <w:b/>
                <w:bCs/>
                <w:sz w:val="18"/>
                <w:szCs w:val="18"/>
              </w:rPr>
            </w:pPr>
            <w:r w:rsidRPr="00D71833">
              <w:rPr>
                <w:b/>
                <w:bCs/>
                <w:sz w:val="18"/>
                <w:szCs w:val="18"/>
              </w:rPr>
              <w:t>Description</w:t>
            </w:r>
          </w:p>
        </w:tc>
      </w:tr>
      <w:tr w:rsidR="00AA7953" w:rsidRPr="00D71833" w14:paraId="6ACECBC2" w14:textId="77777777" w:rsidTr="006D1DD0">
        <w:tc>
          <w:tcPr>
            <w:tcW w:w="2547" w:type="dxa"/>
            <w:tcBorders>
              <w:top w:val="single" w:sz="4" w:space="0" w:color="auto"/>
            </w:tcBorders>
          </w:tcPr>
          <w:p w14:paraId="4AC059F4" w14:textId="6EACD966" w:rsidR="00AA7953" w:rsidRPr="00D71833" w:rsidRDefault="00AA7953" w:rsidP="00A451CC">
            <w:pPr>
              <w:pStyle w:val="Paragraph"/>
              <w:ind w:firstLine="0"/>
            </w:pPr>
            <w:r w:rsidRPr="00D71833">
              <w:t>State Space (S)</w:t>
            </w:r>
          </w:p>
        </w:tc>
        <w:tc>
          <w:tcPr>
            <w:tcW w:w="6803" w:type="dxa"/>
            <w:tcBorders>
              <w:top w:val="single" w:sz="4" w:space="0" w:color="auto"/>
            </w:tcBorders>
          </w:tcPr>
          <w:p w14:paraId="5047BA9C" w14:textId="37143043" w:rsidR="00AA7953" w:rsidRPr="00D71833" w:rsidRDefault="00B36084" w:rsidP="00A451CC">
            <w:pPr>
              <w:pStyle w:val="Paragraph"/>
              <w:ind w:firstLine="0"/>
            </w:pPr>
            <w:r w:rsidRPr="00D71833">
              <w:t xml:space="preserve">Open, High, Low, SMA, EMA, MACD, </w:t>
            </w:r>
            <w:proofErr w:type="spellStart"/>
            <w:r w:rsidRPr="00D71833">
              <w:t>Signal_Line</w:t>
            </w:r>
            <w:proofErr w:type="spellEnd"/>
            <w:r w:rsidR="00890DED" w:rsidRPr="00D71833">
              <w:t>, Close</w:t>
            </w:r>
          </w:p>
        </w:tc>
      </w:tr>
      <w:tr w:rsidR="00AA7953" w:rsidRPr="00D71833" w14:paraId="0EFB7022" w14:textId="77777777" w:rsidTr="006D1DD0">
        <w:tc>
          <w:tcPr>
            <w:tcW w:w="2547" w:type="dxa"/>
          </w:tcPr>
          <w:p w14:paraId="1A6BD08F" w14:textId="36ED3AC7" w:rsidR="00AA7953" w:rsidRPr="00D71833" w:rsidRDefault="00AA7953" w:rsidP="00A451CC">
            <w:pPr>
              <w:pStyle w:val="Paragraph"/>
              <w:ind w:firstLine="0"/>
            </w:pPr>
            <w:r w:rsidRPr="00D71833">
              <w:t>Action Space (A)</w:t>
            </w:r>
          </w:p>
        </w:tc>
        <w:tc>
          <w:tcPr>
            <w:tcW w:w="6803" w:type="dxa"/>
          </w:tcPr>
          <w:p w14:paraId="352CB3D3" w14:textId="548E33D3" w:rsidR="00AA7953" w:rsidRPr="00D71833" w:rsidRDefault="00B36084" w:rsidP="00A451CC">
            <w:pPr>
              <w:pStyle w:val="Paragraph"/>
              <w:ind w:firstLine="0"/>
            </w:pPr>
            <w:r w:rsidRPr="00D71833">
              <w:t>Sell (0), Hold (1), Buy (2)</w:t>
            </w:r>
          </w:p>
        </w:tc>
      </w:tr>
      <w:tr w:rsidR="00AA7953" w:rsidRPr="00D71833" w14:paraId="2152E609" w14:textId="77777777" w:rsidTr="006D1DD0">
        <w:trPr>
          <w:trHeight w:val="54"/>
        </w:trPr>
        <w:tc>
          <w:tcPr>
            <w:tcW w:w="2547" w:type="dxa"/>
            <w:tcBorders>
              <w:bottom w:val="single" w:sz="4" w:space="0" w:color="auto"/>
            </w:tcBorders>
          </w:tcPr>
          <w:p w14:paraId="26BF3629" w14:textId="65CC04B9" w:rsidR="00AA7953" w:rsidRPr="00D71833" w:rsidRDefault="00AA7953" w:rsidP="00A451CC">
            <w:pPr>
              <w:pStyle w:val="Paragraph"/>
              <w:ind w:firstLine="0"/>
            </w:pPr>
            <w:r w:rsidRPr="00D71833">
              <w:t>Reward Function (R)</w:t>
            </w:r>
          </w:p>
        </w:tc>
        <w:tc>
          <w:tcPr>
            <w:tcW w:w="6803" w:type="dxa"/>
            <w:tcBorders>
              <w:bottom w:val="single" w:sz="4" w:space="0" w:color="auto"/>
            </w:tcBorders>
          </w:tcPr>
          <w:p w14:paraId="108D8C7A" w14:textId="7763CA0A" w:rsidR="00AA7953" w:rsidRPr="00D71833" w:rsidRDefault="009A7D17" w:rsidP="00A451CC">
            <w:pPr>
              <w:pStyle w:val="Paragraph"/>
              <w:ind w:firstLine="0"/>
            </w:pPr>
            <w:r w:rsidRPr="00D71833">
              <w:t>Closing Price (today) – Closing Price (yesterday)</w:t>
            </w:r>
          </w:p>
        </w:tc>
      </w:tr>
    </w:tbl>
    <w:p w14:paraId="47B03BBD" w14:textId="77777777" w:rsidR="00AA7953" w:rsidRPr="00D71833" w:rsidRDefault="00AA7953" w:rsidP="00A451CC">
      <w:pPr>
        <w:pStyle w:val="Paragraph"/>
        <w:ind w:firstLine="0"/>
      </w:pPr>
    </w:p>
    <w:p w14:paraId="5DFF8CD7" w14:textId="3CE6F87B" w:rsidR="000E59B4" w:rsidRPr="00D71833" w:rsidRDefault="000E59B4" w:rsidP="00A451CC">
      <w:pPr>
        <w:pStyle w:val="Paragraph"/>
      </w:pPr>
      <w:r w:rsidRPr="00D71833">
        <w:t xml:space="preserve">The financial features include the current price, daily high, daily low, SMA, EMA, and MACD in its state space. To select these features, RFE is </w:t>
      </w:r>
      <w:proofErr w:type="gramStart"/>
      <w:r w:rsidRPr="00D71833">
        <w:t>used</w:t>
      </w:r>
      <w:proofErr w:type="gramEnd"/>
      <w:r w:rsidRPr="00D71833">
        <w:t xml:space="preserve"> and the features are important to make trading decisions with information. The three discrete actions we consider as the action space are </w:t>
      </w:r>
      <w:proofErr w:type="gramStart"/>
      <w:r w:rsidRPr="00D71833">
        <w:t>buy</w:t>
      </w:r>
      <w:proofErr w:type="gramEnd"/>
      <w:r w:rsidRPr="00D71833">
        <w:t xml:space="preserve">, hold, sell. The reward function is </w:t>
      </w:r>
      <w:r w:rsidR="00FF1B97" w:rsidRPr="00D71833">
        <w:t>positive</w:t>
      </w:r>
      <w:r w:rsidRPr="00D71833">
        <w:t>. reward for profitable trades and a negative reward for losses, and it is based on the profitability of the agent’s actions.</w:t>
      </w:r>
    </w:p>
    <w:p w14:paraId="772518E8" w14:textId="0AB11512" w:rsidR="00AA7953" w:rsidRPr="00D71833" w:rsidRDefault="00AD4BBF" w:rsidP="00A451CC">
      <w:pPr>
        <w:pStyle w:val="Heading2"/>
      </w:pPr>
      <w:r w:rsidRPr="00D71833">
        <w:lastRenderedPageBreak/>
        <w:t>Performance Metrics</w:t>
      </w:r>
    </w:p>
    <w:p w14:paraId="0468E25A" w14:textId="0DB59145" w:rsidR="00AD4BBF" w:rsidRPr="00D71833" w:rsidRDefault="00A565AC" w:rsidP="00DA7F7B">
      <w:pPr>
        <w:pStyle w:val="Paragraph"/>
        <w:ind w:firstLine="288"/>
      </w:pPr>
      <w:r w:rsidRPr="00D71833">
        <w:t>I</w:t>
      </w:r>
      <w:r w:rsidR="00B427FA" w:rsidRPr="00D71833">
        <w:t>n this study we apply the Root Mean Square Error (RMSE) and the coefficient of determination (R</w:t>
      </w:r>
      <w:r w:rsidR="00B427FA" w:rsidRPr="00D71833">
        <w:rPr>
          <w:vertAlign w:val="superscript"/>
        </w:rPr>
        <w:t>2</w:t>
      </w:r>
      <w:r w:rsidR="00B427FA" w:rsidRPr="00D71833">
        <w:t xml:space="preserve">) to test the performance of our prediction models. RMSE measures the average error of the predictions and the lower the value the better the forecast. </w:t>
      </w:r>
      <w:r w:rsidR="00115E8C" w:rsidRPr="00D71833">
        <w:t>R</w:t>
      </w:r>
      <w:r w:rsidR="00115E8C" w:rsidRPr="00D71833">
        <w:rPr>
          <w:vertAlign w:val="superscript"/>
        </w:rPr>
        <w:t>2</w:t>
      </w:r>
      <w:r w:rsidR="00B427FA" w:rsidRPr="00D71833">
        <w:t xml:space="preserve"> is a measure of the goodness of fit of the model predictions to the variance of the actual values the closer it is to 1 the better the fit. In the case of Deep Reinforcement Learning (DRL) trading strategy, we evaluate the performance by Sharpe Ratio and Maximum Drawdown. It is a popular risk-adjusted measure of performance that is calculated as the ratio of the mean excess return (over a risk-free benchmark) to the standard deviation of returns, the Sharpe Ratio. This measure gives an indication of the effectiveness of the strategy in translating risk to reward, the higher the Sharpe Ratio the better the performance relative to risk taken. It enables investors to compare various strategies not only </w:t>
      </w:r>
      <w:proofErr w:type="gramStart"/>
      <w:r w:rsidR="00B427FA" w:rsidRPr="00D71833">
        <w:t>on the basis of</w:t>
      </w:r>
      <w:proofErr w:type="gramEnd"/>
      <w:r w:rsidR="00B427FA" w:rsidRPr="00D71833">
        <w:t xml:space="preserve"> their returns, but also </w:t>
      </w:r>
      <w:proofErr w:type="gramStart"/>
      <w:r w:rsidR="00B427FA" w:rsidRPr="00D71833">
        <w:t>on the basis of</w:t>
      </w:r>
      <w:proofErr w:type="gramEnd"/>
      <w:r w:rsidR="00B427FA" w:rsidRPr="00D71833">
        <w:t xml:space="preserve"> the amount of volatility that was necessary to obtain the returns. The second measure is Maximum Drawdown which is the maximum decline noted between the highest value of the portfolio and the lowest value over the period of evaluation. It is the measure of the worst loss scenario that is particularly important in measuring capital preservation and downside risk. The smaller the maximum drawdown, the more stable and robust the strategy is, even under unfavorable market conditions.</w:t>
      </w:r>
    </w:p>
    <w:p w14:paraId="68FAC5AE" w14:textId="6609D6E5" w:rsidR="00E80148" w:rsidRPr="00D71833" w:rsidRDefault="00CC57B7" w:rsidP="00A451CC">
      <w:pPr>
        <w:pStyle w:val="Heading1"/>
      </w:pPr>
      <w:r w:rsidRPr="00D71833">
        <w:t>Result</w:t>
      </w:r>
      <w:r w:rsidR="1F3D1E53" w:rsidRPr="00D71833">
        <w:t xml:space="preserve">s </w:t>
      </w:r>
      <w:r w:rsidR="00255DCA" w:rsidRPr="00D71833">
        <w:t>AND</w:t>
      </w:r>
      <w:r w:rsidR="1F3D1E53" w:rsidRPr="00D71833">
        <w:t xml:space="preserve"> Discussion</w:t>
      </w:r>
    </w:p>
    <w:p w14:paraId="62AEE3CD" w14:textId="26ED92FC" w:rsidR="00402347" w:rsidRPr="00D71833" w:rsidRDefault="00FE1561" w:rsidP="00464C88">
      <w:pPr>
        <w:pStyle w:val="Heading2"/>
      </w:pPr>
      <w:r w:rsidRPr="00D71833">
        <w:t>Deep Learning Price Prediction</w:t>
      </w:r>
    </w:p>
    <w:p w14:paraId="71AC3091" w14:textId="77777777" w:rsidR="00DA7F7B" w:rsidRPr="00D71833" w:rsidRDefault="00DA7F7B" w:rsidP="00DA7F7B">
      <w:pPr>
        <w:pStyle w:val="Paragraph"/>
      </w:pPr>
      <w:r w:rsidRPr="00D71833">
        <w:t>Table 2 compares predicting accuracy for four deep-learning models on gold-price data using Open, High and Low as inputs. The Simple RNN leads the pack with an RMSE of 0.01104 and R² of 0.99722, closely followed by the LSTM (RMSE: 0.01338, R²: 0.99592). The Transformer sits in third place (RMSE: 0.01797, R²: 0.99263), achieving respectable performance given its smaller embedding dimension and limited hyperparameter tuning. Next, CNN records the highest error (RMSE: 0.01901, R²: 0.99176). Although our LSTM and RNN models showed slightly better RMSE and R² in the supervised forecasting tests, we chose the Transformer as the state encoder for our PPO-based reinforcement-learning system for three main reasons. First, its self-attention layers excel at capturing long-range temporal patterns in price data. Second, recent studies demonstrate that Transformers handle delayed rewards and complex state representations particularly well in RL settings. Third, their highly parallel architecture scales efficiently to larger and richer financial datasets. These combined strengths make the Transformer a natural fit for algorithmic‐trading applications.</w:t>
      </w:r>
    </w:p>
    <w:p w14:paraId="19841344" w14:textId="77777777" w:rsidR="00464C88" w:rsidRPr="00D71833" w:rsidRDefault="00464C88" w:rsidP="00DA7F7B">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DA7F7B" w:rsidRPr="00D71833" w14:paraId="5CDC459B" w14:textId="77777777" w:rsidTr="00DA7F7B">
        <w:tc>
          <w:tcPr>
            <w:tcW w:w="9350" w:type="dxa"/>
            <w:gridSpan w:val="3"/>
            <w:tcBorders>
              <w:bottom w:val="single" w:sz="4" w:space="0" w:color="auto"/>
            </w:tcBorders>
          </w:tcPr>
          <w:p w14:paraId="2594E9DB" w14:textId="5DD69738" w:rsidR="00DA7F7B" w:rsidRPr="00D71833" w:rsidRDefault="00DA7F7B" w:rsidP="00DA7F7B">
            <w:pPr>
              <w:pStyle w:val="Paragraph"/>
              <w:spacing w:before="120"/>
              <w:ind w:firstLine="0"/>
              <w:jc w:val="center"/>
              <w:rPr>
                <w:b/>
                <w:bCs/>
                <w:sz w:val="18"/>
                <w:szCs w:val="18"/>
              </w:rPr>
            </w:pPr>
            <w:r w:rsidRPr="00D71833">
              <w:rPr>
                <w:b/>
                <w:bCs/>
                <w:sz w:val="18"/>
                <w:szCs w:val="18"/>
              </w:rPr>
              <w:t xml:space="preserve">TABLE </w:t>
            </w:r>
            <w:r w:rsidRPr="00D71833">
              <w:rPr>
                <w:b/>
                <w:bCs/>
                <w:sz w:val="18"/>
                <w:szCs w:val="18"/>
              </w:rPr>
              <w:fldChar w:fldCharType="begin"/>
            </w:r>
            <w:r w:rsidRPr="00D71833">
              <w:rPr>
                <w:b/>
                <w:bCs/>
                <w:sz w:val="18"/>
                <w:szCs w:val="18"/>
              </w:rPr>
              <w:instrText xml:space="preserve"> SEQ Table \* ARABIC </w:instrText>
            </w:r>
            <w:r w:rsidRPr="00D71833">
              <w:rPr>
                <w:b/>
                <w:bCs/>
                <w:sz w:val="18"/>
                <w:szCs w:val="18"/>
              </w:rPr>
              <w:fldChar w:fldCharType="separate"/>
            </w:r>
            <w:r w:rsidR="00A74AE7">
              <w:rPr>
                <w:b/>
                <w:bCs/>
                <w:noProof/>
                <w:sz w:val="18"/>
                <w:szCs w:val="18"/>
              </w:rPr>
              <w:t>2</w:t>
            </w:r>
            <w:r w:rsidRPr="00D71833">
              <w:rPr>
                <w:b/>
                <w:bCs/>
                <w:sz w:val="18"/>
                <w:szCs w:val="18"/>
              </w:rPr>
              <w:fldChar w:fldCharType="end"/>
            </w:r>
            <w:r w:rsidRPr="00D71833">
              <w:rPr>
                <w:b/>
                <w:bCs/>
                <w:sz w:val="18"/>
                <w:szCs w:val="18"/>
              </w:rPr>
              <w:t>.</w:t>
            </w:r>
            <w:r w:rsidRPr="00D71833">
              <w:rPr>
                <w:sz w:val="18"/>
                <w:szCs w:val="18"/>
              </w:rPr>
              <w:t xml:space="preserve"> Performance </w:t>
            </w:r>
            <w:r w:rsidR="00255DCA" w:rsidRPr="00D71833">
              <w:rPr>
                <w:sz w:val="18"/>
                <w:szCs w:val="18"/>
              </w:rPr>
              <w:t>c</w:t>
            </w:r>
            <w:r w:rsidRPr="00D71833">
              <w:rPr>
                <w:sz w:val="18"/>
                <w:szCs w:val="18"/>
              </w:rPr>
              <w:t xml:space="preserve">omparison of </w:t>
            </w:r>
            <w:r w:rsidR="00255DCA" w:rsidRPr="00D71833">
              <w:rPr>
                <w:sz w:val="18"/>
                <w:szCs w:val="18"/>
              </w:rPr>
              <w:t>d</w:t>
            </w:r>
            <w:r w:rsidRPr="00D71833">
              <w:rPr>
                <w:sz w:val="18"/>
                <w:szCs w:val="18"/>
              </w:rPr>
              <w:t xml:space="preserve">eep </w:t>
            </w:r>
            <w:r w:rsidR="00255DCA" w:rsidRPr="00D71833">
              <w:rPr>
                <w:sz w:val="18"/>
                <w:szCs w:val="18"/>
              </w:rPr>
              <w:t>l</w:t>
            </w:r>
            <w:r w:rsidRPr="00D71833">
              <w:rPr>
                <w:sz w:val="18"/>
                <w:szCs w:val="18"/>
              </w:rPr>
              <w:t xml:space="preserve">earning </w:t>
            </w:r>
            <w:r w:rsidR="00255DCA" w:rsidRPr="00D71833">
              <w:rPr>
                <w:sz w:val="18"/>
                <w:szCs w:val="18"/>
              </w:rPr>
              <w:t>m</w:t>
            </w:r>
            <w:r w:rsidRPr="00D71833">
              <w:rPr>
                <w:sz w:val="18"/>
                <w:szCs w:val="18"/>
              </w:rPr>
              <w:t xml:space="preserve">odels for </w:t>
            </w:r>
            <w:r w:rsidR="00255DCA" w:rsidRPr="00D71833">
              <w:rPr>
                <w:sz w:val="18"/>
                <w:szCs w:val="18"/>
              </w:rPr>
              <w:t>g</w:t>
            </w:r>
            <w:r w:rsidRPr="00D71833">
              <w:rPr>
                <w:sz w:val="18"/>
                <w:szCs w:val="18"/>
              </w:rPr>
              <w:t xml:space="preserve">old </w:t>
            </w:r>
            <w:r w:rsidR="00255DCA" w:rsidRPr="00D71833">
              <w:rPr>
                <w:sz w:val="18"/>
                <w:szCs w:val="18"/>
              </w:rPr>
              <w:t>p</w:t>
            </w:r>
            <w:r w:rsidRPr="00D71833">
              <w:rPr>
                <w:sz w:val="18"/>
                <w:szCs w:val="18"/>
              </w:rPr>
              <w:t xml:space="preserve">rice </w:t>
            </w:r>
            <w:r w:rsidR="00255DCA" w:rsidRPr="00D71833">
              <w:rPr>
                <w:sz w:val="18"/>
                <w:szCs w:val="18"/>
              </w:rPr>
              <w:t>p</w:t>
            </w:r>
            <w:r w:rsidRPr="00D71833">
              <w:rPr>
                <w:sz w:val="18"/>
                <w:szCs w:val="18"/>
              </w:rPr>
              <w:t>rediction</w:t>
            </w:r>
          </w:p>
        </w:tc>
      </w:tr>
      <w:tr w:rsidR="00B9182D" w:rsidRPr="00D71833" w14:paraId="361EB763" w14:textId="77777777" w:rsidTr="005C0E7B">
        <w:tc>
          <w:tcPr>
            <w:tcW w:w="3116" w:type="dxa"/>
            <w:tcBorders>
              <w:top w:val="single" w:sz="4" w:space="0" w:color="auto"/>
              <w:bottom w:val="single" w:sz="4" w:space="0" w:color="auto"/>
            </w:tcBorders>
          </w:tcPr>
          <w:p w14:paraId="66147CA0" w14:textId="6EBA1CB6" w:rsidR="00B9182D" w:rsidRPr="00D71833" w:rsidRDefault="005E2F59" w:rsidP="00A451CC">
            <w:pPr>
              <w:pStyle w:val="Paragraph"/>
              <w:ind w:firstLine="0"/>
              <w:jc w:val="center"/>
              <w:rPr>
                <w:b/>
                <w:bCs/>
                <w:sz w:val="18"/>
                <w:szCs w:val="18"/>
              </w:rPr>
            </w:pPr>
            <w:r w:rsidRPr="00D71833">
              <w:rPr>
                <w:b/>
                <w:bCs/>
                <w:sz w:val="18"/>
                <w:szCs w:val="18"/>
              </w:rPr>
              <w:t>Model</w:t>
            </w:r>
          </w:p>
        </w:tc>
        <w:tc>
          <w:tcPr>
            <w:tcW w:w="3117" w:type="dxa"/>
            <w:tcBorders>
              <w:top w:val="single" w:sz="4" w:space="0" w:color="auto"/>
              <w:bottom w:val="single" w:sz="4" w:space="0" w:color="auto"/>
            </w:tcBorders>
          </w:tcPr>
          <w:p w14:paraId="3AFE01D5" w14:textId="2DBAF63D" w:rsidR="00B9182D" w:rsidRPr="00D71833" w:rsidRDefault="005E2F59" w:rsidP="00A451CC">
            <w:pPr>
              <w:pStyle w:val="Paragraph"/>
              <w:ind w:firstLine="0"/>
              <w:jc w:val="center"/>
              <w:rPr>
                <w:b/>
                <w:bCs/>
                <w:sz w:val="18"/>
                <w:szCs w:val="18"/>
              </w:rPr>
            </w:pPr>
            <w:r w:rsidRPr="00D71833">
              <w:rPr>
                <w:b/>
                <w:bCs/>
                <w:sz w:val="18"/>
                <w:szCs w:val="18"/>
              </w:rPr>
              <w:t>RMSE</w:t>
            </w:r>
          </w:p>
        </w:tc>
        <w:tc>
          <w:tcPr>
            <w:tcW w:w="3117" w:type="dxa"/>
            <w:tcBorders>
              <w:top w:val="single" w:sz="4" w:space="0" w:color="auto"/>
              <w:bottom w:val="single" w:sz="4" w:space="0" w:color="auto"/>
            </w:tcBorders>
          </w:tcPr>
          <w:p w14:paraId="3D991DF3" w14:textId="0BAE155C" w:rsidR="00B9182D" w:rsidRPr="00D71833" w:rsidRDefault="004043E3" w:rsidP="00A451CC">
            <w:pPr>
              <w:pStyle w:val="Paragraph"/>
              <w:ind w:firstLine="0"/>
              <w:jc w:val="center"/>
              <w:rPr>
                <w:b/>
                <w:bCs/>
                <w:sz w:val="18"/>
                <w:szCs w:val="18"/>
                <w:vertAlign w:val="superscript"/>
              </w:rPr>
            </w:pPr>
            <w:r w:rsidRPr="00D71833">
              <w:rPr>
                <w:b/>
                <w:bCs/>
                <w:sz w:val="18"/>
                <w:szCs w:val="18"/>
              </w:rPr>
              <w:t>R</w:t>
            </w:r>
            <w:r w:rsidRPr="00D71833">
              <w:rPr>
                <w:b/>
                <w:bCs/>
                <w:sz w:val="18"/>
                <w:szCs w:val="18"/>
                <w:vertAlign w:val="superscript"/>
              </w:rPr>
              <w:t>2</w:t>
            </w:r>
          </w:p>
        </w:tc>
      </w:tr>
      <w:tr w:rsidR="00B9182D" w:rsidRPr="00D71833" w14:paraId="348CDD2F" w14:textId="77777777" w:rsidTr="005C0E7B">
        <w:tc>
          <w:tcPr>
            <w:tcW w:w="3116" w:type="dxa"/>
            <w:tcBorders>
              <w:top w:val="single" w:sz="4" w:space="0" w:color="auto"/>
            </w:tcBorders>
          </w:tcPr>
          <w:p w14:paraId="536E2F13" w14:textId="495F4219" w:rsidR="00B9182D" w:rsidRPr="00D71833" w:rsidRDefault="004043E3" w:rsidP="00A451CC">
            <w:pPr>
              <w:pStyle w:val="Paragraph"/>
              <w:ind w:firstLine="0"/>
              <w:jc w:val="center"/>
            </w:pPr>
            <w:r w:rsidRPr="00D71833">
              <w:t>LSTM</w:t>
            </w:r>
          </w:p>
        </w:tc>
        <w:tc>
          <w:tcPr>
            <w:tcW w:w="3117" w:type="dxa"/>
            <w:tcBorders>
              <w:top w:val="single" w:sz="4" w:space="0" w:color="auto"/>
            </w:tcBorders>
          </w:tcPr>
          <w:p w14:paraId="4510CB23" w14:textId="7F134743" w:rsidR="00B9182D" w:rsidRPr="00D71833" w:rsidRDefault="004043E3" w:rsidP="00A451CC">
            <w:pPr>
              <w:pStyle w:val="Paragraph"/>
              <w:ind w:firstLine="0"/>
              <w:jc w:val="center"/>
            </w:pPr>
            <w:r w:rsidRPr="00D71833">
              <w:t>0.01</w:t>
            </w:r>
            <w:r w:rsidR="00137302" w:rsidRPr="00D71833">
              <w:t>3380</w:t>
            </w:r>
          </w:p>
        </w:tc>
        <w:tc>
          <w:tcPr>
            <w:tcW w:w="3117" w:type="dxa"/>
            <w:tcBorders>
              <w:top w:val="single" w:sz="4" w:space="0" w:color="auto"/>
            </w:tcBorders>
          </w:tcPr>
          <w:p w14:paraId="304DD263" w14:textId="038D24F0" w:rsidR="00B9182D" w:rsidRPr="00D71833" w:rsidRDefault="000C4062" w:rsidP="00A451CC">
            <w:pPr>
              <w:pStyle w:val="Paragraph"/>
              <w:ind w:firstLine="0"/>
              <w:jc w:val="center"/>
            </w:pPr>
            <w:r w:rsidRPr="00D71833">
              <w:t>0.995917</w:t>
            </w:r>
          </w:p>
        </w:tc>
      </w:tr>
      <w:tr w:rsidR="00B9182D" w:rsidRPr="00D71833" w14:paraId="4CACC2EC" w14:textId="77777777" w:rsidTr="00B866A1">
        <w:tc>
          <w:tcPr>
            <w:tcW w:w="3116" w:type="dxa"/>
          </w:tcPr>
          <w:p w14:paraId="1B0E16EA" w14:textId="2EC8CBE6" w:rsidR="00B9182D" w:rsidRPr="00D71833" w:rsidRDefault="00137302" w:rsidP="00A451CC">
            <w:pPr>
              <w:pStyle w:val="Paragraph"/>
              <w:ind w:firstLine="0"/>
              <w:jc w:val="center"/>
            </w:pPr>
            <w:r w:rsidRPr="00D71833">
              <w:t>R</w:t>
            </w:r>
            <w:r w:rsidR="004043E3" w:rsidRPr="00D71833">
              <w:t>NN</w:t>
            </w:r>
          </w:p>
        </w:tc>
        <w:tc>
          <w:tcPr>
            <w:tcW w:w="3117" w:type="dxa"/>
          </w:tcPr>
          <w:p w14:paraId="0691C363" w14:textId="68D11C7F" w:rsidR="00B9182D" w:rsidRPr="00D71833" w:rsidRDefault="00137302" w:rsidP="00A451CC">
            <w:pPr>
              <w:pStyle w:val="Paragraph"/>
              <w:ind w:firstLine="0"/>
              <w:jc w:val="center"/>
            </w:pPr>
            <w:r w:rsidRPr="00D71833">
              <w:t>0.011044</w:t>
            </w:r>
          </w:p>
        </w:tc>
        <w:tc>
          <w:tcPr>
            <w:tcW w:w="3117" w:type="dxa"/>
          </w:tcPr>
          <w:p w14:paraId="21015F2B" w14:textId="27F81647" w:rsidR="00B9182D" w:rsidRPr="00D71833" w:rsidRDefault="000C4062" w:rsidP="00A451CC">
            <w:pPr>
              <w:pStyle w:val="Paragraph"/>
              <w:ind w:firstLine="0"/>
              <w:jc w:val="center"/>
            </w:pPr>
            <w:r w:rsidRPr="00D71833">
              <w:t>0.997218</w:t>
            </w:r>
          </w:p>
        </w:tc>
      </w:tr>
      <w:tr w:rsidR="00B9182D" w:rsidRPr="00D71833" w14:paraId="5D78C835" w14:textId="77777777" w:rsidTr="005C0E7B">
        <w:tc>
          <w:tcPr>
            <w:tcW w:w="3116" w:type="dxa"/>
          </w:tcPr>
          <w:p w14:paraId="1ABEAA75" w14:textId="398F9A18" w:rsidR="00B9182D" w:rsidRPr="00D71833" w:rsidRDefault="00137302" w:rsidP="00A451CC">
            <w:pPr>
              <w:pStyle w:val="Paragraph"/>
              <w:ind w:firstLine="0"/>
              <w:jc w:val="center"/>
            </w:pPr>
            <w:r w:rsidRPr="00D71833">
              <w:t>C</w:t>
            </w:r>
            <w:r w:rsidR="004043E3" w:rsidRPr="00D71833">
              <w:t>NN</w:t>
            </w:r>
          </w:p>
        </w:tc>
        <w:tc>
          <w:tcPr>
            <w:tcW w:w="3117" w:type="dxa"/>
          </w:tcPr>
          <w:p w14:paraId="1F9E125D" w14:textId="3D5CDCE3" w:rsidR="00B9182D" w:rsidRPr="00D71833" w:rsidRDefault="00137302" w:rsidP="00A451CC">
            <w:pPr>
              <w:pStyle w:val="Paragraph"/>
              <w:ind w:firstLine="0"/>
              <w:jc w:val="center"/>
            </w:pPr>
            <w:r w:rsidRPr="00D71833">
              <w:t>0.019005</w:t>
            </w:r>
          </w:p>
        </w:tc>
        <w:tc>
          <w:tcPr>
            <w:tcW w:w="3117" w:type="dxa"/>
          </w:tcPr>
          <w:p w14:paraId="0E3334AF" w14:textId="3C4F5A0F" w:rsidR="00B9182D" w:rsidRPr="00D71833" w:rsidRDefault="000C4062" w:rsidP="00A451CC">
            <w:pPr>
              <w:pStyle w:val="Paragraph"/>
              <w:ind w:firstLine="0"/>
              <w:jc w:val="center"/>
            </w:pPr>
            <w:r w:rsidRPr="00D71833">
              <w:t>0.991762</w:t>
            </w:r>
          </w:p>
        </w:tc>
      </w:tr>
      <w:tr w:rsidR="004043E3" w:rsidRPr="00D71833" w14:paraId="474C0DB6" w14:textId="77777777" w:rsidTr="005C0E7B">
        <w:tc>
          <w:tcPr>
            <w:tcW w:w="3116" w:type="dxa"/>
            <w:tcBorders>
              <w:bottom w:val="single" w:sz="4" w:space="0" w:color="auto"/>
            </w:tcBorders>
          </w:tcPr>
          <w:p w14:paraId="11721314" w14:textId="6D4652FF" w:rsidR="004043E3" w:rsidRPr="00D71833" w:rsidRDefault="004043E3" w:rsidP="00A451CC">
            <w:pPr>
              <w:pStyle w:val="Paragraph"/>
              <w:ind w:firstLine="0"/>
              <w:jc w:val="center"/>
            </w:pPr>
            <w:r w:rsidRPr="00D71833">
              <w:t>Transformer</w:t>
            </w:r>
          </w:p>
        </w:tc>
        <w:tc>
          <w:tcPr>
            <w:tcW w:w="3117" w:type="dxa"/>
            <w:tcBorders>
              <w:bottom w:val="single" w:sz="4" w:space="0" w:color="auto"/>
            </w:tcBorders>
          </w:tcPr>
          <w:p w14:paraId="6052994A" w14:textId="1EA61C94" w:rsidR="004043E3" w:rsidRPr="00D71833" w:rsidRDefault="00D346B2" w:rsidP="00A451CC">
            <w:pPr>
              <w:pStyle w:val="Paragraph"/>
              <w:ind w:firstLine="0"/>
              <w:jc w:val="center"/>
            </w:pPr>
            <w:r w:rsidRPr="00D71833">
              <w:t>0.01797</w:t>
            </w:r>
            <w:r w:rsidR="003B5AAA" w:rsidRPr="00D71833">
              <w:t>0</w:t>
            </w:r>
          </w:p>
        </w:tc>
        <w:tc>
          <w:tcPr>
            <w:tcW w:w="3117" w:type="dxa"/>
            <w:tcBorders>
              <w:bottom w:val="single" w:sz="4" w:space="0" w:color="auto"/>
            </w:tcBorders>
          </w:tcPr>
          <w:p w14:paraId="5BCFA078" w14:textId="65A32345" w:rsidR="004043E3" w:rsidRPr="00D71833" w:rsidRDefault="005C5750" w:rsidP="00A451CC">
            <w:pPr>
              <w:pStyle w:val="Paragraph"/>
              <w:ind w:firstLine="0"/>
              <w:jc w:val="center"/>
            </w:pPr>
            <w:r w:rsidRPr="00D71833">
              <w:t>0.99263</w:t>
            </w:r>
            <w:r w:rsidR="003B5AAA" w:rsidRPr="00D71833">
              <w:t>0</w:t>
            </w:r>
          </w:p>
        </w:tc>
      </w:tr>
    </w:tbl>
    <w:p w14:paraId="2D4321DA" w14:textId="7647D460" w:rsidR="00C02ECA" w:rsidRPr="00D71833" w:rsidRDefault="00DE5945" w:rsidP="00464C88">
      <w:pPr>
        <w:pStyle w:val="Heading2"/>
      </w:pPr>
      <w:r w:rsidRPr="00D71833">
        <w:t>DRL</w:t>
      </w:r>
      <w:r w:rsidR="00C02ECA" w:rsidRPr="00D71833">
        <w:t xml:space="preserve"> Model Evaluation Result</w:t>
      </w:r>
    </w:p>
    <w:p w14:paraId="164ADFD7" w14:textId="517A007D" w:rsidR="00DA7F7B" w:rsidRPr="00D71833" w:rsidRDefault="00DA7F7B" w:rsidP="00DA7F7B">
      <w:pPr>
        <w:pStyle w:val="Paragraph"/>
      </w:pPr>
      <w:r w:rsidRPr="00D71833">
        <w:t xml:space="preserve">Table 3 summarizes the performance metrics of a Deep Reinforcement Learning (DRL) model across four datasets: Gold, Nvidia, Oracle, and Microsoft. The results show that the DRL model achieves its best risk-adjusted performance on the </w:t>
      </w:r>
      <w:proofErr w:type="gramStart"/>
      <w:r w:rsidRPr="00D71833">
        <w:t>Gold</w:t>
      </w:r>
      <w:proofErr w:type="gramEnd"/>
      <w:r w:rsidRPr="00D71833">
        <w:t xml:space="preserve"> dataset, where an initial capital of $100 grows to $187.17, resulting in total profits of $87.15, a high Sharpe Ratio of 3.60, and a very low maximum drawdown (MDD) of 3.39%. In comparison, Nvidia provides the highest total profits ($253.49) and final capital ($353.49), with a Sharpe Ratio of 1.63 and an MDD of 26.45%. Oracle achieves a final capital of $182.64 (profit of $82.64), a Sharpe Ratio of 1.07, and an MDD of 36.17%. Microsoft shows the lowest growth, with a final capital of $121.54 (profit of $21.54), a Sharpe Ratio of 0.45, and an MDD of 32.07%. The overall average Sharpe Ratio across all datasets is 1.69, with a cumulative profit of $111.21 and an MDD of 24.52%. Excluding gold, the average Sharpe Ratio drops to 1.05, with average profits of $119.22 and a higher MDD of 31.56%. These results highlight the model’s strong risk-adjusted returns in gold, while its performance on stocks is profitable but riskier.</w:t>
      </w:r>
    </w:p>
    <w:p w14:paraId="50719CE4" w14:textId="319CBCBB" w:rsidR="00DA7F7B" w:rsidRPr="00D71833" w:rsidRDefault="00DA7F7B" w:rsidP="00DA7F7B">
      <w:pPr>
        <w:pStyle w:val="Paragraph"/>
      </w:pPr>
    </w:p>
    <w:p w14:paraId="65012CF8" w14:textId="77777777" w:rsidR="00DA7F7B" w:rsidRPr="00D71833" w:rsidRDefault="00DA7F7B" w:rsidP="00DA7F7B">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5"/>
        <w:gridCol w:w="1335"/>
        <w:gridCol w:w="1336"/>
        <w:gridCol w:w="1336"/>
        <w:gridCol w:w="1604"/>
        <w:gridCol w:w="2410"/>
      </w:tblGrid>
      <w:tr w:rsidR="00DA7F7B" w:rsidRPr="00D71833" w14:paraId="10447F9D" w14:textId="77777777" w:rsidTr="00DA7F7B">
        <w:trPr>
          <w:jc w:val="center"/>
        </w:trPr>
        <w:tc>
          <w:tcPr>
            <w:tcW w:w="9356" w:type="dxa"/>
            <w:gridSpan w:val="6"/>
            <w:tcBorders>
              <w:bottom w:val="single" w:sz="4" w:space="0" w:color="auto"/>
            </w:tcBorders>
          </w:tcPr>
          <w:p w14:paraId="28C7B3AB" w14:textId="3B8850C2" w:rsidR="00DA7F7B" w:rsidRPr="00D71833" w:rsidRDefault="00DA7F7B" w:rsidP="00DA7F7B">
            <w:pPr>
              <w:pStyle w:val="Paragraph"/>
              <w:spacing w:before="120"/>
              <w:ind w:firstLine="0"/>
              <w:jc w:val="center"/>
              <w:rPr>
                <w:b/>
              </w:rPr>
            </w:pPr>
            <w:r w:rsidRPr="00D71833">
              <w:rPr>
                <w:b/>
                <w:bCs/>
                <w:sz w:val="18"/>
                <w:szCs w:val="18"/>
              </w:rPr>
              <w:t>TABLE 3.</w:t>
            </w:r>
            <w:r w:rsidRPr="00D71833">
              <w:rPr>
                <w:sz w:val="18"/>
                <w:szCs w:val="18"/>
              </w:rPr>
              <w:t xml:space="preserve"> Performance </w:t>
            </w:r>
            <w:r w:rsidR="00255DCA" w:rsidRPr="00D71833">
              <w:rPr>
                <w:sz w:val="18"/>
                <w:szCs w:val="18"/>
              </w:rPr>
              <w:t>m</w:t>
            </w:r>
            <w:r w:rsidRPr="00D71833">
              <w:rPr>
                <w:sz w:val="18"/>
                <w:szCs w:val="18"/>
              </w:rPr>
              <w:t xml:space="preserve">etrics </w:t>
            </w:r>
            <w:r w:rsidR="00255DCA" w:rsidRPr="00D71833">
              <w:rPr>
                <w:sz w:val="18"/>
                <w:szCs w:val="18"/>
              </w:rPr>
              <w:t>r</w:t>
            </w:r>
            <w:r w:rsidRPr="00D71833">
              <w:rPr>
                <w:sz w:val="18"/>
                <w:szCs w:val="18"/>
              </w:rPr>
              <w:t>esults for DRL</w:t>
            </w:r>
          </w:p>
        </w:tc>
      </w:tr>
      <w:tr w:rsidR="00FF1B97" w:rsidRPr="00D71833" w14:paraId="3EC0219F" w14:textId="77777777" w:rsidTr="00B35034">
        <w:trPr>
          <w:jc w:val="center"/>
        </w:trPr>
        <w:tc>
          <w:tcPr>
            <w:tcW w:w="1335" w:type="dxa"/>
            <w:tcBorders>
              <w:top w:val="single" w:sz="4" w:space="0" w:color="auto"/>
              <w:bottom w:val="single" w:sz="4" w:space="0" w:color="auto"/>
            </w:tcBorders>
          </w:tcPr>
          <w:p w14:paraId="23551DD6" w14:textId="5F0E577D" w:rsidR="00FF1B97" w:rsidRPr="00D71833" w:rsidRDefault="00FF1B97" w:rsidP="00A451CC">
            <w:pPr>
              <w:pStyle w:val="Paragraph"/>
              <w:ind w:firstLine="0"/>
              <w:jc w:val="center"/>
              <w:rPr>
                <w:b/>
                <w:sz w:val="18"/>
                <w:szCs w:val="18"/>
              </w:rPr>
            </w:pPr>
            <w:r w:rsidRPr="00D71833">
              <w:rPr>
                <w:b/>
                <w:sz w:val="18"/>
                <w:szCs w:val="18"/>
              </w:rPr>
              <w:t>Dataset</w:t>
            </w:r>
          </w:p>
        </w:tc>
        <w:tc>
          <w:tcPr>
            <w:tcW w:w="1335" w:type="dxa"/>
            <w:tcBorders>
              <w:top w:val="single" w:sz="4" w:space="0" w:color="auto"/>
              <w:bottom w:val="single" w:sz="4" w:space="0" w:color="auto"/>
            </w:tcBorders>
          </w:tcPr>
          <w:p w14:paraId="1366685F" w14:textId="00BAFF25" w:rsidR="00FF1B97" w:rsidRPr="00D71833" w:rsidRDefault="00FF1B97" w:rsidP="00A451CC">
            <w:pPr>
              <w:pStyle w:val="Paragraph"/>
              <w:ind w:firstLine="0"/>
              <w:jc w:val="center"/>
              <w:rPr>
                <w:b/>
                <w:sz w:val="18"/>
                <w:szCs w:val="18"/>
              </w:rPr>
            </w:pPr>
            <w:r w:rsidRPr="00D71833">
              <w:rPr>
                <w:b/>
                <w:sz w:val="18"/>
                <w:szCs w:val="18"/>
              </w:rPr>
              <w:t>Initial Capital</w:t>
            </w:r>
          </w:p>
        </w:tc>
        <w:tc>
          <w:tcPr>
            <w:tcW w:w="1336" w:type="dxa"/>
            <w:tcBorders>
              <w:top w:val="single" w:sz="4" w:space="0" w:color="auto"/>
              <w:bottom w:val="single" w:sz="4" w:space="0" w:color="auto"/>
            </w:tcBorders>
          </w:tcPr>
          <w:p w14:paraId="5ABEBEE1" w14:textId="14628598" w:rsidR="00FF1B97" w:rsidRPr="00D71833" w:rsidRDefault="00FF1B97" w:rsidP="00A451CC">
            <w:pPr>
              <w:pStyle w:val="Paragraph"/>
              <w:ind w:firstLine="0"/>
              <w:jc w:val="center"/>
              <w:rPr>
                <w:b/>
                <w:sz w:val="18"/>
                <w:szCs w:val="18"/>
              </w:rPr>
            </w:pPr>
            <w:r w:rsidRPr="00D71833">
              <w:rPr>
                <w:b/>
                <w:sz w:val="18"/>
                <w:szCs w:val="18"/>
              </w:rPr>
              <w:t>Final Capital</w:t>
            </w:r>
          </w:p>
        </w:tc>
        <w:tc>
          <w:tcPr>
            <w:tcW w:w="1336" w:type="dxa"/>
            <w:tcBorders>
              <w:top w:val="single" w:sz="4" w:space="0" w:color="auto"/>
              <w:bottom w:val="single" w:sz="4" w:space="0" w:color="auto"/>
            </w:tcBorders>
          </w:tcPr>
          <w:p w14:paraId="62ADAAAF" w14:textId="39A19E5B" w:rsidR="00FF1B97" w:rsidRPr="00D71833" w:rsidRDefault="00FF1B97" w:rsidP="00A451CC">
            <w:pPr>
              <w:pStyle w:val="Paragraph"/>
              <w:ind w:firstLine="0"/>
              <w:jc w:val="center"/>
              <w:rPr>
                <w:b/>
                <w:sz w:val="18"/>
                <w:szCs w:val="18"/>
              </w:rPr>
            </w:pPr>
            <w:r w:rsidRPr="00D71833">
              <w:rPr>
                <w:b/>
                <w:sz w:val="18"/>
                <w:szCs w:val="18"/>
              </w:rPr>
              <w:t>Total Profits</w:t>
            </w:r>
          </w:p>
        </w:tc>
        <w:tc>
          <w:tcPr>
            <w:tcW w:w="1604" w:type="dxa"/>
            <w:tcBorders>
              <w:top w:val="single" w:sz="4" w:space="0" w:color="auto"/>
              <w:bottom w:val="single" w:sz="4" w:space="0" w:color="auto"/>
            </w:tcBorders>
          </w:tcPr>
          <w:p w14:paraId="4C984E32" w14:textId="4C193737" w:rsidR="00FF1B97" w:rsidRPr="00D71833" w:rsidRDefault="00FF1B97" w:rsidP="00A451CC">
            <w:pPr>
              <w:pStyle w:val="Paragraph"/>
              <w:ind w:firstLine="0"/>
              <w:jc w:val="center"/>
              <w:rPr>
                <w:b/>
                <w:sz w:val="18"/>
                <w:szCs w:val="18"/>
              </w:rPr>
            </w:pPr>
            <w:r w:rsidRPr="00D71833">
              <w:rPr>
                <w:b/>
                <w:sz w:val="18"/>
                <w:szCs w:val="18"/>
              </w:rPr>
              <w:t>S</w:t>
            </w:r>
            <w:r w:rsidR="00B35034" w:rsidRPr="00D71833">
              <w:rPr>
                <w:b/>
                <w:sz w:val="18"/>
                <w:szCs w:val="18"/>
              </w:rPr>
              <w:t>harpe Ratio</w:t>
            </w:r>
          </w:p>
        </w:tc>
        <w:tc>
          <w:tcPr>
            <w:tcW w:w="2410" w:type="dxa"/>
            <w:tcBorders>
              <w:top w:val="single" w:sz="4" w:space="0" w:color="auto"/>
              <w:bottom w:val="single" w:sz="4" w:space="0" w:color="auto"/>
            </w:tcBorders>
          </w:tcPr>
          <w:p w14:paraId="09FCB533" w14:textId="491FAA76" w:rsidR="00FF1B97" w:rsidRPr="00D71833" w:rsidRDefault="00FF1B97" w:rsidP="00A451CC">
            <w:pPr>
              <w:pStyle w:val="Paragraph"/>
              <w:ind w:firstLine="0"/>
              <w:jc w:val="center"/>
              <w:rPr>
                <w:b/>
                <w:sz w:val="18"/>
                <w:szCs w:val="18"/>
              </w:rPr>
            </w:pPr>
            <w:r w:rsidRPr="00D71833">
              <w:rPr>
                <w:b/>
                <w:sz w:val="18"/>
                <w:szCs w:val="18"/>
              </w:rPr>
              <w:t>M</w:t>
            </w:r>
            <w:r w:rsidR="00B35034" w:rsidRPr="00D71833">
              <w:rPr>
                <w:b/>
                <w:sz w:val="18"/>
                <w:szCs w:val="18"/>
              </w:rPr>
              <w:t>aximum Drawdown (%)</w:t>
            </w:r>
          </w:p>
        </w:tc>
      </w:tr>
      <w:tr w:rsidR="00FF1B97" w:rsidRPr="00D71833" w14:paraId="3C0790E1" w14:textId="77777777" w:rsidTr="00B35034">
        <w:trPr>
          <w:jc w:val="center"/>
        </w:trPr>
        <w:tc>
          <w:tcPr>
            <w:tcW w:w="1335" w:type="dxa"/>
            <w:tcBorders>
              <w:top w:val="single" w:sz="4" w:space="0" w:color="auto"/>
            </w:tcBorders>
          </w:tcPr>
          <w:p w14:paraId="6BD69E29" w14:textId="0266C577" w:rsidR="00FF1B97" w:rsidRPr="00D71833" w:rsidRDefault="00FF1B97" w:rsidP="00A451CC">
            <w:pPr>
              <w:pStyle w:val="Paragraph"/>
              <w:ind w:firstLine="0"/>
              <w:jc w:val="center"/>
              <w:rPr>
                <w:sz w:val="16"/>
                <w:szCs w:val="16"/>
              </w:rPr>
            </w:pPr>
            <w:r w:rsidRPr="00D71833">
              <w:t>Gold</w:t>
            </w:r>
          </w:p>
        </w:tc>
        <w:tc>
          <w:tcPr>
            <w:tcW w:w="1335" w:type="dxa"/>
            <w:tcBorders>
              <w:top w:val="single" w:sz="4" w:space="0" w:color="auto"/>
            </w:tcBorders>
          </w:tcPr>
          <w:p w14:paraId="237E7D16" w14:textId="54C8CBF3" w:rsidR="00FF1B97" w:rsidRPr="00D71833" w:rsidRDefault="00FF1B97" w:rsidP="00A451CC">
            <w:pPr>
              <w:pStyle w:val="Paragraph"/>
              <w:ind w:firstLine="0"/>
              <w:jc w:val="center"/>
              <w:rPr>
                <w:sz w:val="16"/>
                <w:szCs w:val="16"/>
              </w:rPr>
            </w:pPr>
            <w:r w:rsidRPr="00D71833">
              <w:t>100</w:t>
            </w:r>
          </w:p>
        </w:tc>
        <w:tc>
          <w:tcPr>
            <w:tcW w:w="1336" w:type="dxa"/>
            <w:tcBorders>
              <w:top w:val="single" w:sz="4" w:space="0" w:color="auto"/>
            </w:tcBorders>
          </w:tcPr>
          <w:p w14:paraId="469187F0" w14:textId="1EAA11B2" w:rsidR="00FF1B97" w:rsidRPr="00D71833" w:rsidRDefault="00085272" w:rsidP="00A451CC">
            <w:pPr>
              <w:pStyle w:val="Paragraph"/>
              <w:ind w:firstLine="0"/>
              <w:jc w:val="center"/>
              <w:rPr>
                <w:sz w:val="18"/>
                <w:szCs w:val="18"/>
              </w:rPr>
            </w:pPr>
            <w:r w:rsidRPr="00D71833">
              <w:rPr>
                <w:sz w:val="18"/>
                <w:szCs w:val="18"/>
              </w:rPr>
              <w:t>187.17</w:t>
            </w:r>
          </w:p>
        </w:tc>
        <w:tc>
          <w:tcPr>
            <w:tcW w:w="1336" w:type="dxa"/>
            <w:tcBorders>
              <w:top w:val="single" w:sz="4" w:space="0" w:color="auto"/>
            </w:tcBorders>
          </w:tcPr>
          <w:p w14:paraId="5818DEF3" w14:textId="07CB1789" w:rsidR="00FF1B97" w:rsidRPr="00D71833" w:rsidRDefault="00085272" w:rsidP="00A451CC">
            <w:pPr>
              <w:pStyle w:val="Paragraph"/>
              <w:ind w:firstLine="0"/>
              <w:jc w:val="center"/>
              <w:rPr>
                <w:sz w:val="18"/>
                <w:szCs w:val="18"/>
              </w:rPr>
            </w:pPr>
            <w:r w:rsidRPr="00D71833">
              <w:t>87.15</w:t>
            </w:r>
          </w:p>
        </w:tc>
        <w:tc>
          <w:tcPr>
            <w:tcW w:w="1604" w:type="dxa"/>
            <w:tcBorders>
              <w:top w:val="single" w:sz="4" w:space="0" w:color="auto"/>
            </w:tcBorders>
          </w:tcPr>
          <w:p w14:paraId="74BD9B1A" w14:textId="726DDC85" w:rsidR="00FF1B97" w:rsidRPr="00D71833" w:rsidRDefault="00125F42" w:rsidP="00A451CC">
            <w:pPr>
              <w:pStyle w:val="Paragraph"/>
              <w:ind w:firstLine="0"/>
              <w:jc w:val="center"/>
            </w:pPr>
            <w:r w:rsidRPr="00D71833">
              <w:t>3.60</w:t>
            </w:r>
          </w:p>
        </w:tc>
        <w:tc>
          <w:tcPr>
            <w:tcW w:w="2410" w:type="dxa"/>
            <w:tcBorders>
              <w:top w:val="single" w:sz="4" w:space="0" w:color="auto"/>
            </w:tcBorders>
          </w:tcPr>
          <w:p w14:paraId="28F437A6" w14:textId="5FF2AC8F" w:rsidR="00FF1B97" w:rsidRPr="00D71833" w:rsidRDefault="00125F42" w:rsidP="00A451CC">
            <w:pPr>
              <w:pStyle w:val="Paragraph"/>
              <w:ind w:firstLine="0"/>
              <w:jc w:val="center"/>
            </w:pPr>
            <w:r w:rsidRPr="00D71833">
              <w:t>3.39</w:t>
            </w:r>
          </w:p>
        </w:tc>
      </w:tr>
      <w:tr w:rsidR="00FF1B97" w:rsidRPr="00D71833" w14:paraId="14F5728C" w14:textId="77777777" w:rsidTr="00B35034">
        <w:trPr>
          <w:jc w:val="center"/>
        </w:trPr>
        <w:tc>
          <w:tcPr>
            <w:tcW w:w="1335" w:type="dxa"/>
          </w:tcPr>
          <w:p w14:paraId="094DDCB6" w14:textId="2A388A06" w:rsidR="00FF1B97" w:rsidRPr="00D71833" w:rsidRDefault="000B2198" w:rsidP="00A451CC">
            <w:pPr>
              <w:pStyle w:val="Paragraph"/>
              <w:ind w:firstLine="0"/>
              <w:jc w:val="center"/>
              <w:rPr>
                <w:sz w:val="16"/>
                <w:szCs w:val="16"/>
              </w:rPr>
            </w:pPr>
            <w:r w:rsidRPr="00D71833">
              <w:t>Nvidia</w:t>
            </w:r>
          </w:p>
        </w:tc>
        <w:tc>
          <w:tcPr>
            <w:tcW w:w="1335" w:type="dxa"/>
          </w:tcPr>
          <w:p w14:paraId="0B18E4D9" w14:textId="102D08EB" w:rsidR="00FF1B97" w:rsidRPr="00D71833" w:rsidRDefault="00FF1B97" w:rsidP="00A451CC">
            <w:pPr>
              <w:pStyle w:val="Paragraph"/>
              <w:ind w:firstLine="0"/>
              <w:jc w:val="center"/>
              <w:rPr>
                <w:sz w:val="16"/>
                <w:szCs w:val="16"/>
              </w:rPr>
            </w:pPr>
            <w:r w:rsidRPr="00D71833">
              <w:t>100</w:t>
            </w:r>
          </w:p>
        </w:tc>
        <w:tc>
          <w:tcPr>
            <w:tcW w:w="1336" w:type="dxa"/>
          </w:tcPr>
          <w:p w14:paraId="55100B2F" w14:textId="15C79C84" w:rsidR="00FF1B97" w:rsidRPr="00D71833" w:rsidRDefault="00085272" w:rsidP="00A451CC">
            <w:pPr>
              <w:pStyle w:val="Paragraph"/>
              <w:ind w:firstLine="0"/>
              <w:jc w:val="center"/>
            </w:pPr>
            <w:r w:rsidRPr="00D71833">
              <w:t>353.49</w:t>
            </w:r>
          </w:p>
        </w:tc>
        <w:tc>
          <w:tcPr>
            <w:tcW w:w="1336" w:type="dxa"/>
          </w:tcPr>
          <w:p w14:paraId="6389E64F" w14:textId="1FEAA387" w:rsidR="00FF1B97" w:rsidRPr="00D71833" w:rsidRDefault="00085272" w:rsidP="00A451CC">
            <w:pPr>
              <w:pStyle w:val="Paragraph"/>
              <w:ind w:firstLine="0"/>
              <w:jc w:val="center"/>
            </w:pPr>
            <w:r w:rsidRPr="00D71833">
              <w:t>253.49</w:t>
            </w:r>
          </w:p>
        </w:tc>
        <w:tc>
          <w:tcPr>
            <w:tcW w:w="1604" w:type="dxa"/>
          </w:tcPr>
          <w:p w14:paraId="30BF7E1A" w14:textId="7D0EE433" w:rsidR="00FF1B97" w:rsidRPr="00D71833" w:rsidRDefault="00125F42" w:rsidP="00A451CC">
            <w:pPr>
              <w:pStyle w:val="Paragraph"/>
              <w:ind w:firstLine="0"/>
              <w:jc w:val="center"/>
            </w:pPr>
            <w:r w:rsidRPr="00D71833">
              <w:t>1.63</w:t>
            </w:r>
          </w:p>
        </w:tc>
        <w:tc>
          <w:tcPr>
            <w:tcW w:w="2410" w:type="dxa"/>
          </w:tcPr>
          <w:p w14:paraId="3D5585A9" w14:textId="1592A976" w:rsidR="00FF1B97" w:rsidRPr="00D71833" w:rsidRDefault="00125F42" w:rsidP="00A451CC">
            <w:pPr>
              <w:pStyle w:val="Paragraph"/>
              <w:ind w:firstLine="0"/>
              <w:jc w:val="center"/>
            </w:pPr>
            <w:r w:rsidRPr="00D71833">
              <w:t>26.45</w:t>
            </w:r>
          </w:p>
        </w:tc>
      </w:tr>
      <w:tr w:rsidR="00FF1B97" w:rsidRPr="00D71833" w14:paraId="69C17359" w14:textId="77777777" w:rsidTr="00B35034">
        <w:trPr>
          <w:jc w:val="center"/>
        </w:trPr>
        <w:tc>
          <w:tcPr>
            <w:tcW w:w="1335" w:type="dxa"/>
          </w:tcPr>
          <w:p w14:paraId="273829A5" w14:textId="08C44F0D" w:rsidR="00FF1B97" w:rsidRPr="00D71833" w:rsidRDefault="00131399" w:rsidP="00A451CC">
            <w:pPr>
              <w:pStyle w:val="Paragraph"/>
              <w:ind w:firstLine="0"/>
              <w:jc w:val="center"/>
              <w:rPr>
                <w:sz w:val="16"/>
                <w:szCs w:val="16"/>
              </w:rPr>
            </w:pPr>
            <w:r w:rsidRPr="00D71833">
              <w:t>Oracle</w:t>
            </w:r>
          </w:p>
        </w:tc>
        <w:tc>
          <w:tcPr>
            <w:tcW w:w="1335" w:type="dxa"/>
          </w:tcPr>
          <w:p w14:paraId="30A26F0A" w14:textId="211AF34B" w:rsidR="00FF1B97" w:rsidRPr="00D71833" w:rsidRDefault="00FF1B97" w:rsidP="00A451CC">
            <w:pPr>
              <w:pStyle w:val="Paragraph"/>
              <w:ind w:firstLine="0"/>
              <w:jc w:val="center"/>
              <w:rPr>
                <w:sz w:val="16"/>
                <w:szCs w:val="16"/>
              </w:rPr>
            </w:pPr>
            <w:r w:rsidRPr="00D71833">
              <w:t>100</w:t>
            </w:r>
          </w:p>
        </w:tc>
        <w:tc>
          <w:tcPr>
            <w:tcW w:w="1336" w:type="dxa"/>
          </w:tcPr>
          <w:p w14:paraId="628AB323" w14:textId="4B07607C" w:rsidR="00FF1B97" w:rsidRPr="00D71833" w:rsidRDefault="00085272" w:rsidP="00A451CC">
            <w:pPr>
              <w:pStyle w:val="Paragraph"/>
              <w:ind w:firstLine="0"/>
              <w:jc w:val="center"/>
            </w:pPr>
            <w:r w:rsidRPr="00D71833">
              <w:t>182.64</w:t>
            </w:r>
          </w:p>
        </w:tc>
        <w:tc>
          <w:tcPr>
            <w:tcW w:w="1336" w:type="dxa"/>
          </w:tcPr>
          <w:p w14:paraId="7E07441E" w14:textId="1409C947" w:rsidR="00FF1B97" w:rsidRPr="00D71833" w:rsidRDefault="00085272" w:rsidP="00A451CC">
            <w:pPr>
              <w:pStyle w:val="Paragraph"/>
              <w:ind w:firstLine="0"/>
              <w:jc w:val="center"/>
            </w:pPr>
            <w:r w:rsidRPr="00D71833">
              <w:t>82.64</w:t>
            </w:r>
          </w:p>
        </w:tc>
        <w:tc>
          <w:tcPr>
            <w:tcW w:w="1604" w:type="dxa"/>
          </w:tcPr>
          <w:p w14:paraId="12E4042A" w14:textId="09A9FBC2" w:rsidR="00FF1B97" w:rsidRPr="00D71833" w:rsidRDefault="00125F42" w:rsidP="00A451CC">
            <w:pPr>
              <w:pStyle w:val="Paragraph"/>
              <w:ind w:firstLine="0"/>
              <w:jc w:val="center"/>
            </w:pPr>
            <w:r w:rsidRPr="00D71833">
              <w:t>1.07</w:t>
            </w:r>
          </w:p>
        </w:tc>
        <w:tc>
          <w:tcPr>
            <w:tcW w:w="2410" w:type="dxa"/>
          </w:tcPr>
          <w:p w14:paraId="50806C24" w14:textId="469B9119" w:rsidR="00FF1B97" w:rsidRPr="00D71833" w:rsidRDefault="00125F42" w:rsidP="00A451CC">
            <w:pPr>
              <w:pStyle w:val="Paragraph"/>
              <w:ind w:firstLine="0"/>
              <w:jc w:val="center"/>
            </w:pPr>
            <w:r w:rsidRPr="00D71833">
              <w:t>36.17</w:t>
            </w:r>
          </w:p>
        </w:tc>
      </w:tr>
      <w:tr w:rsidR="00521FDB" w:rsidRPr="00D71833" w14:paraId="34CD9B42" w14:textId="77777777" w:rsidTr="00B35034">
        <w:trPr>
          <w:jc w:val="center"/>
        </w:trPr>
        <w:tc>
          <w:tcPr>
            <w:tcW w:w="1335" w:type="dxa"/>
            <w:tcBorders>
              <w:bottom w:val="single" w:sz="4" w:space="0" w:color="auto"/>
            </w:tcBorders>
          </w:tcPr>
          <w:p w14:paraId="690D30F7" w14:textId="0EE8AD99" w:rsidR="00521FDB" w:rsidRPr="00D71833" w:rsidRDefault="000B2198" w:rsidP="00A451CC">
            <w:pPr>
              <w:pStyle w:val="Paragraph"/>
              <w:ind w:firstLine="0"/>
              <w:jc w:val="center"/>
            </w:pPr>
            <w:r w:rsidRPr="00D71833">
              <w:t>Microsoft</w:t>
            </w:r>
          </w:p>
        </w:tc>
        <w:tc>
          <w:tcPr>
            <w:tcW w:w="1335" w:type="dxa"/>
            <w:tcBorders>
              <w:bottom w:val="single" w:sz="4" w:space="0" w:color="auto"/>
            </w:tcBorders>
          </w:tcPr>
          <w:p w14:paraId="3A1C5237" w14:textId="74EEC6C9" w:rsidR="00521FDB" w:rsidRPr="00D71833" w:rsidRDefault="00794D9E" w:rsidP="00A451CC">
            <w:pPr>
              <w:pStyle w:val="Paragraph"/>
              <w:ind w:firstLine="0"/>
              <w:jc w:val="center"/>
            </w:pPr>
            <w:r w:rsidRPr="00D71833">
              <w:t>100</w:t>
            </w:r>
          </w:p>
        </w:tc>
        <w:tc>
          <w:tcPr>
            <w:tcW w:w="1336" w:type="dxa"/>
            <w:tcBorders>
              <w:bottom w:val="single" w:sz="4" w:space="0" w:color="auto"/>
            </w:tcBorders>
          </w:tcPr>
          <w:p w14:paraId="6B8AE3B1" w14:textId="5F7BA25C" w:rsidR="00521FDB" w:rsidRPr="00D71833" w:rsidRDefault="00085272" w:rsidP="00A451CC">
            <w:pPr>
              <w:pStyle w:val="Paragraph"/>
              <w:ind w:firstLine="0"/>
              <w:jc w:val="center"/>
            </w:pPr>
            <w:r w:rsidRPr="00D71833">
              <w:t>121.54</w:t>
            </w:r>
          </w:p>
        </w:tc>
        <w:tc>
          <w:tcPr>
            <w:tcW w:w="1336" w:type="dxa"/>
            <w:tcBorders>
              <w:bottom w:val="single" w:sz="4" w:space="0" w:color="auto"/>
            </w:tcBorders>
          </w:tcPr>
          <w:p w14:paraId="4A4DE3BA" w14:textId="12CA4D71" w:rsidR="00521FDB" w:rsidRPr="00D71833" w:rsidRDefault="00085272" w:rsidP="00A451CC">
            <w:pPr>
              <w:pStyle w:val="Paragraph"/>
              <w:ind w:firstLine="0"/>
              <w:jc w:val="center"/>
            </w:pPr>
            <w:r w:rsidRPr="00D71833">
              <w:t>21.54</w:t>
            </w:r>
          </w:p>
        </w:tc>
        <w:tc>
          <w:tcPr>
            <w:tcW w:w="1604" w:type="dxa"/>
            <w:tcBorders>
              <w:bottom w:val="single" w:sz="4" w:space="0" w:color="auto"/>
            </w:tcBorders>
          </w:tcPr>
          <w:p w14:paraId="29263C1A" w14:textId="4E8055BF" w:rsidR="00521FDB" w:rsidRPr="00D71833" w:rsidRDefault="00125F42" w:rsidP="00A451CC">
            <w:pPr>
              <w:pStyle w:val="Paragraph"/>
              <w:ind w:firstLine="0"/>
              <w:jc w:val="center"/>
            </w:pPr>
            <w:r w:rsidRPr="00D71833">
              <w:t>0.45</w:t>
            </w:r>
          </w:p>
        </w:tc>
        <w:tc>
          <w:tcPr>
            <w:tcW w:w="2410" w:type="dxa"/>
            <w:tcBorders>
              <w:bottom w:val="single" w:sz="4" w:space="0" w:color="auto"/>
            </w:tcBorders>
          </w:tcPr>
          <w:p w14:paraId="3ADC69A4" w14:textId="6F6BE625" w:rsidR="00521FDB" w:rsidRPr="00D71833" w:rsidRDefault="00125F42" w:rsidP="00A451CC">
            <w:pPr>
              <w:pStyle w:val="Paragraph"/>
              <w:ind w:firstLine="0"/>
              <w:jc w:val="center"/>
            </w:pPr>
            <w:r w:rsidRPr="00D71833">
              <w:t>32.07</w:t>
            </w:r>
          </w:p>
        </w:tc>
      </w:tr>
      <w:tr w:rsidR="00FF1B97" w:rsidRPr="00D71833" w14:paraId="7EBDDEB9" w14:textId="77777777" w:rsidTr="00B35034">
        <w:trPr>
          <w:jc w:val="center"/>
        </w:trPr>
        <w:tc>
          <w:tcPr>
            <w:tcW w:w="4006" w:type="dxa"/>
            <w:gridSpan w:val="3"/>
            <w:tcBorders>
              <w:top w:val="single" w:sz="4" w:space="0" w:color="auto"/>
              <w:bottom w:val="single" w:sz="4" w:space="0" w:color="auto"/>
            </w:tcBorders>
          </w:tcPr>
          <w:p w14:paraId="159195B7" w14:textId="5D33C7A7" w:rsidR="00FF1B97" w:rsidRPr="00D71833" w:rsidRDefault="00933B91" w:rsidP="00A451CC">
            <w:pPr>
              <w:pStyle w:val="Paragraph"/>
              <w:ind w:firstLine="0"/>
              <w:jc w:val="center"/>
              <w:rPr>
                <w:b/>
                <w:sz w:val="18"/>
                <w:szCs w:val="18"/>
              </w:rPr>
            </w:pPr>
            <w:r w:rsidRPr="00D71833">
              <w:rPr>
                <w:b/>
              </w:rPr>
              <w:t xml:space="preserve">Overall </w:t>
            </w:r>
            <w:r w:rsidR="00FF1B97" w:rsidRPr="00D71833">
              <w:rPr>
                <w:b/>
              </w:rPr>
              <w:t>Average</w:t>
            </w:r>
            <w:r w:rsidR="00794D9E" w:rsidRPr="00D71833">
              <w:rPr>
                <w:b/>
              </w:rPr>
              <w:t xml:space="preserve"> </w:t>
            </w:r>
          </w:p>
        </w:tc>
        <w:tc>
          <w:tcPr>
            <w:tcW w:w="1336" w:type="dxa"/>
            <w:tcBorders>
              <w:top w:val="single" w:sz="4" w:space="0" w:color="auto"/>
              <w:bottom w:val="single" w:sz="4" w:space="0" w:color="auto"/>
            </w:tcBorders>
          </w:tcPr>
          <w:p w14:paraId="0D293D4A" w14:textId="759C8F6C" w:rsidR="00FF1B97" w:rsidRPr="00D71833" w:rsidRDefault="00125F42" w:rsidP="00A451CC">
            <w:pPr>
              <w:pStyle w:val="Paragraph"/>
              <w:ind w:firstLine="0"/>
              <w:jc w:val="center"/>
              <w:rPr>
                <w:b/>
                <w:sz w:val="18"/>
                <w:szCs w:val="18"/>
              </w:rPr>
            </w:pPr>
            <w:r w:rsidRPr="00D71833">
              <w:rPr>
                <w:b/>
                <w:sz w:val="18"/>
                <w:szCs w:val="18"/>
              </w:rPr>
              <w:t>111.21</w:t>
            </w:r>
          </w:p>
        </w:tc>
        <w:tc>
          <w:tcPr>
            <w:tcW w:w="1604" w:type="dxa"/>
            <w:tcBorders>
              <w:top w:val="single" w:sz="4" w:space="0" w:color="auto"/>
              <w:bottom w:val="single" w:sz="4" w:space="0" w:color="auto"/>
            </w:tcBorders>
          </w:tcPr>
          <w:p w14:paraId="463765BE" w14:textId="46CC374D" w:rsidR="00FF1B97" w:rsidRPr="00D71833" w:rsidRDefault="00DE72E3" w:rsidP="00A451CC">
            <w:pPr>
              <w:pStyle w:val="Paragraph"/>
              <w:ind w:firstLine="0"/>
              <w:jc w:val="center"/>
              <w:rPr>
                <w:b/>
                <w:sz w:val="18"/>
                <w:szCs w:val="18"/>
              </w:rPr>
            </w:pPr>
            <w:r w:rsidRPr="00D71833">
              <w:rPr>
                <w:b/>
                <w:sz w:val="18"/>
                <w:szCs w:val="18"/>
              </w:rPr>
              <w:t>1.</w:t>
            </w:r>
            <w:r w:rsidR="009372C4" w:rsidRPr="00D71833">
              <w:rPr>
                <w:b/>
                <w:sz w:val="18"/>
                <w:szCs w:val="18"/>
              </w:rPr>
              <w:t>69</w:t>
            </w:r>
          </w:p>
        </w:tc>
        <w:tc>
          <w:tcPr>
            <w:tcW w:w="2410" w:type="dxa"/>
            <w:tcBorders>
              <w:top w:val="single" w:sz="4" w:space="0" w:color="auto"/>
              <w:bottom w:val="single" w:sz="4" w:space="0" w:color="auto"/>
            </w:tcBorders>
          </w:tcPr>
          <w:p w14:paraId="56470CAB" w14:textId="5AAE46C7" w:rsidR="00FF1B97" w:rsidRPr="00D71833" w:rsidRDefault="009372C4" w:rsidP="00A451CC">
            <w:pPr>
              <w:pStyle w:val="Paragraph"/>
              <w:ind w:firstLine="0"/>
              <w:jc w:val="center"/>
              <w:rPr>
                <w:b/>
                <w:sz w:val="18"/>
                <w:szCs w:val="18"/>
              </w:rPr>
            </w:pPr>
            <w:r w:rsidRPr="00D71833">
              <w:rPr>
                <w:b/>
                <w:sz w:val="18"/>
                <w:szCs w:val="18"/>
              </w:rPr>
              <w:t>24.52</w:t>
            </w:r>
          </w:p>
        </w:tc>
      </w:tr>
      <w:tr w:rsidR="00391C42" w:rsidRPr="00D71833" w14:paraId="5093CA54" w14:textId="77777777" w:rsidTr="00B35034">
        <w:trPr>
          <w:jc w:val="center"/>
        </w:trPr>
        <w:tc>
          <w:tcPr>
            <w:tcW w:w="4006" w:type="dxa"/>
            <w:gridSpan w:val="3"/>
            <w:tcBorders>
              <w:top w:val="single" w:sz="4" w:space="0" w:color="auto"/>
              <w:bottom w:val="single" w:sz="4" w:space="0" w:color="auto"/>
            </w:tcBorders>
          </w:tcPr>
          <w:p w14:paraId="7B27CC45" w14:textId="5C4B770A" w:rsidR="00391C42" w:rsidRPr="00D71833" w:rsidRDefault="00391C42" w:rsidP="00A451CC">
            <w:pPr>
              <w:pStyle w:val="Paragraph"/>
              <w:ind w:firstLine="0"/>
              <w:jc w:val="center"/>
              <w:rPr>
                <w:b/>
              </w:rPr>
            </w:pPr>
            <w:r w:rsidRPr="00D71833">
              <w:rPr>
                <w:b/>
              </w:rPr>
              <w:t>Average without Gold</w:t>
            </w:r>
            <w:r w:rsidR="00933B91" w:rsidRPr="00D71833">
              <w:rPr>
                <w:b/>
              </w:rPr>
              <w:t xml:space="preserve"> Commodities</w:t>
            </w:r>
          </w:p>
        </w:tc>
        <w:tc>
          <w:tcPr>
            <w:tcW w:w="1336" w:type="dxa"/>
            <w:tcBorders>
              <w:top w:val="single" w:sz="4" w:space="0" w:color="auto"/>
              <w:bottom w:val="single" w:sz="4" w:space="0" w:color="auto"/>
            </w:tcBorders>
          </w:tcPr>
          <w:p w14:paraId="40D46868" w14:textId="487D947B" w:rsidR="00391C42" w:rsidRPr="00D71833" w:rsidRDefault="009468F7" w:rsidP="00A451CC">
            <w:pPr>
              <w:pStyle w:val="Paragraph"/>
              <w:ind w:firstLine="0"/>
              <w:jc w:val="center"/>
              <w:rPr>
                <w:b/>
                <w:sz w:val="18"/>
                <w:szCs w:val="18"/>
              </w:rPr>
            </w:pPr>
            <w:r w:rsidRPr="00D71833">
              <w:rPr>
                <w:b/>
                <w:sz w:val="18"/>
                <w:szCs w:val="18"/>
              </w:rPr>
              <w:t>119.22</w:t>
            </w:r>
          </w:p>
        </w:tc>
        <w:tc>
          <w:tcPr>
            <w:tcW w:w="1604" w:type="dxa"/>
            <w:tcBorders>
              <w:top w:val="single" w:sz="4" w:space="0" w:color="auto"/>
              <w:bottom w:val="single" w:sz="4" w:space="0" w:color="auto"/>
            </w:tcBorders>
          </w:tcPr>
          <w:p w14:paraId="2FB622A4" w14:textId="6293B23E" w:rsidR="00391C42" w:rsidRPr="00D71833" w:rsidRDefault="00DE72E3" w:rsidP="00A451CC">
            <w:pPr>
              <w:pStyle w:val="Paragraph"/>
              <w:ind w:firstLine="0"/>
              <w:jc w:val="center"/>
              <w:rPr>
                <w:b/>
                <w:sz w:val="18"/>
                <w:szCs w:val="18"/>
              </w:rPr>
            </w:pPr>
            <w:r w:rsidRPr="00D71833">
              <w:rPr>
                <w:b/>
                <w:sz w:val="18"/>
                <w:szCs w:val="18"/>
              </w:rPr>
              <w:t>1.</w:t>
            </w:r>
            <w:r w:rsidR="009372C4" w:rsidRPr="00D71833">
              <w:rPr>
                <w:b/>
                <w:sz w:val="18"/>
                <w:szCs w:val="18"/>
              </w:rPr>
              <w:t>05</w:t>
            </w:r>
          </w:p>
        </w:tc>
        <w:tc>
          <w:tcPr>
            <w:tcW w:w="2410" w:type="dxa"/>
            <w:tcBorders>
              <w:top w:val="single" w:sz="4" w:space="0" w:color="auto"/>
              <w:bottom w:val="single" w:sz="4" w:space="0" w:color="auto"/>
            </w:tcBorders>
          </w:tcPr>
          <w:p w14:paraId="795BC4A4" w14:textId="584ADB7C" w:rsidR="00391C42" w:rsidRPr="00D71833" w:rsidRDefault="009372C4" w:rsidP="00A451CC">
            <w:pPr>
              <w:pStyle w:val="Paragraph"/>
              <w:ind w:firstLine="0"/>
              <w:jc w:val="center"/>
              <w:rPr>
                <w:b/>
                <w:sz w:val="18"/>
                <w:szCs w:val="18"/>
              </w:rPr>
            </w:pPr>
            <w:r w:rsidRPr="00D71833">
              <w:rPr>
                <w:b/>
                <w:sz w:val="18"/>
                <w:szCs w:val="18"/>
              </w:rPr>
              <w:t>31.56</w:t>
            </w:r>
          </w:p>
        </w:tc>
      </w:tr>
    </w:tbl>
    <w:p w14:paraId="1F5A198E" w14:textId="6C38BD1C" w:rsidR="00EC1494" w:rsidRPr="00D71833" w:rsidRDefault="00EC1494" w:rsidP="00464C88">
      <w:pPr>
        <w:pStyle w:val="Heading2"/>
        <w:rPr>
          <w:lang w:val="en-MY"/>
        </w:rPr>
      </w:pPr>
      <w:r w:rsidRPr="00D71833">
        <w:rPr>
          <w:lang w:val="en-MY"/>
        </w:rPr>
        <w:t xml:space="preserve">Comparison with </w:t>
      </w:r>
      <w:r w:rsidR="0C12DADF" w:rsidRPr="00D71833">
        <w:rPr>
          <w:lang w:val="en-MY"/>
        </w:rPr>
        <w:t>Existing</w:t>
      </w:r>
      <w:r w:rsidRPr="00D71833">
        <w:rPr>
          <w:lang w:val="en-MY"/>
        </w:rPr>
        <w:t xml:space="preserve"> Works</w:t>
      </w:r>
    </w:p>
    <w:p w14:paraId="14D0CA21" w14:textId="39E00C83" w:rsidR="00371E3F" w:rsidRPr="00D71833" w:rsidRDefault="00DA7F7B" w:rsidP="00DA7F7B">
      <w:pPr>
        <w:pStyle w:val="Paragraph"/>
      </w:pPr>
      <w:r w:rsidRPr="00D71833">
        <w:t>Table 4 clearly shows that the current PPO-Transformer model delivers strong and competitive overall performance compared to previous methods. With a Sharpe Ratio of 1.05, the PPO-Transformer outperforms LSTM-DDPG (0.74) and DQN-GRU (0.69), indicating improved risk-adjusted returns over most prior models. However, it is slightly lower than DADE-DQN (1.20) and TDQN (1.48), which remains the highest among the models compared. In terms of Maximum Drawdown (MDD), the PPO-Transformer records -31.56%, which is comparable to LSTM-DDPG (-30.91%) and DQN-GRU (-34.20%), but higher (worse) than DADE-DQN (-13.95%) and TDQN (-17.31%). This suggests that while the PPO-Transformer offers strong risk-adjusted returns, it does so with a higher exposure to drawdown risk compared to the best-performing past models. Overall, the PPO-Transformer stands out as a robust and effective model in terms of risk-adjusted returns, offering competitive performance among recent state-of-the-art approaches.</w:t>
      </w:r>
    </w:p>
    <w:p w14:paraId="7B43A0FC" w14:textId="77777777" w:rsidR="00464C88" w:rsidRPr="00D71833" w:rsidRDefault="00464C88" w:rsidP="00DA7F7B">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2127"/>
        <w:gridCol w:w="2338"/>
        <w:gridCol w:w="2338"/>
      </w:tblGrid>
      <w:tr w:rsidR="00DA7F7B" w:rsidRPr="00D71833" w14:paraId="2651F068" w14:textId="77777777" w:rsidTr="00DA7F7B">
        <w:trPr>
          <w:trHeight w:val="300"/>
        </w:trPr>
        <w:tc>
          <w:tcPr>
            <w:tcW w:w="9350" w:type="dxa"/>
            <w:gridSpan w:val="4"/>
            <w:tcBorders>
              <w:bottom w:val="single" w:sz="4" w:space="0" w:color="auto"/>
            </w:tcBorders>
          </w:tcPr>
          <w:p w14:paraId="016F4FB8" w14:textId="31EE03E1" w:rsidR="00DA7F7B" w:rsidRPr="00D71833" w:rsidRDefault="00DA7F7B" w:rsidP="00DA7F7B">
            <w:pPr>
              <w:pStyle w:val="Paragraph"/>
              <w:spacing w:before="120"/>
              <w:ind w:firstLine="0"/>
              <w:jc w:val="center"/>
              <w:rPr>
                <w:b/>
                <w:bCs/>
                <w:sz w:val="18"/>
                <w:szCs w:val="18"/>
                <w:lang w:val="en-MY"/>
              </w:rPr>
            </w:pPr>
            <w:r w:rsidRPr="00D71833">
              <w:rPr>
                <w:b/>
                <w:bCs/>
                <w:sz w:val="18"/>
                <w:szCs w:val="18"/>
              </w:rPr>
              <w:t>TABLE 4.</w:t>
            </w:r>
            <w:r w:rsidRPr="00D71833">
              <w:rPr>
                <w:sz w:val="18"/>
                <w:szCs w:val="18"/>
              </w:rPr>
              <w:t xml:space="preserve"> Result </w:t>
            </w:r>
            <w:r w:rsidR="00255DCA" w:rsidRPr="00D71833">
              <w:rPr>
                <w:sz w:val="18"/>
                <w:szCs w:val="18"/>
              </w:rPr>
              <w:t>c</w:t>
            </w:r>
            <w:r w:rsidRPr="00D71833">
              <w:rPr>
                <w:sz w:val="18"/>
                <w:szCs w:val="18"/>
              </w:rPr>
              <w:t xml:space="preserve">omparison with </w:t>
            </w:r>
            <w:r w:rsidR="00255DCA" w:rsidRPr="00D71833">
              <w:rPr>
                <w:sz w:val="18"/>
                <w:szCs w:val="18"/>
              </w:rPr>
              <w:t>p</w:t>
            </w:r>
            <w:r w:rsidRPr="00D71833">
              <w:rPr>
                <w:sz w:val="18"/>
                <w:szCs w:val="18"/>
              </w:rPr>
              <w:t xml:space="preserve">ast </w:t>
            </w:r>
            <w:r w:rsidR="00255DCA" w:rsidRPr="00D71833">
              <w:rPr>
                <w:sz w:val="18"/>
                <w:szCs w:val="18"/>
              </w:rPr>
              <w:t>w</w:t>
            </w:r>
            <w:r w:rsidRPr="00D71833">
              <w:rPr>
                <w:sz w:val="18"/>
                <w:szCs w:val="18"/>
              </w:rPr>
              <w:t>ork</w:t>
            </w:r>
            <w:r w:rsidR="00255DCA" w:rsidRPr="00D71833">
              <w:rPr>
                <w:sz w:val="18"/>
                <w:szCs w:val="18"/>
              </w:rPr>
              <w:t>s</w:t>
            </w:r>
          </w:p>
        </w:tc>
      </w:tr>
      <w:tr w:rsidR="006D0512" w:rsidRPr="00D71833" w14:paraId="72B89E90" w14:textId="77777777" w:rsidTr="009B3AD5">
        <w:trPr>
          <w:trHeight w:val="144"/>
        </w:trPr>
        <w:tc>
          <w:tcPr>
            <w:tcW w:w="2547" w:type="dxa"/>
            <w:tcBorders>
              <w:top w:val="single" w:sz="4" w:space="0" w:color="auto"/>
              <w:bottom w:val="single" w:sz="4" w:space="0" w:color="auto"/>
            </w:tcBorders>
          </w:tcPr>
          <w:p w14:paraId="11652B80" w14:textId="68FBBE67" w:rsidR="006D0512" w:rsidRPr="00D71833" w:rsidRDefault="006D0512" w:rsidP="00A451CC">
            <w:pPr>
              <w:pStyle w:val="Paragraph"/>
              <w:ind w:firstLine="0"/>
              <w:jc w:val="center"/>
              <w:rPr>
                <w:b/>
                <w:sz w:val="18"/>
                <w:szCs w:val="18"/>
                <w:lang w:val="en-MY"/>
              </w:rPr>
            </w:pPr>
            <w:r w:rsidRPr="00D71833">
              <w:rPr>
                <w:b/>
                <w:bCs/>
                <w:sz w:val="18"/>
                <w:szCs w:val="18"/>
                <w:lang w:val="en-MY"/>
              </w:rPr>
              <w:t>Author</w:t>
            </w:r>
          </w:p>
        </w:tc>
        <w:tc>
          <w:tcPr>
            <w:tcW w:w="2127" w:type="dxa"/>
            <w:tcBorders>
              <w:top w:val="single" w:sz="4" w:space="0" w:color="auto"/>
              <w:bottom w:val="single" w:sz="4" w:space="0" w:color="auto"/>
            </w:tcBorders>
          </w:tcPr>
          <w:p w14:paraId="71428C23" w14:textId="12AB5010" w:rsidR="006D0512" w:rsidRPr="00D71833" w:rsidRDefault="006D0512" w:rsidP="00A451CC">
            <w:pPr>
              <w:pStyle w:val="Paragraph"/>
              <w:ind w:firstLine="0"/>
              <w:jc w:val="center"/>
              <w:rPr>
                <w:b/>
                <w:sz w:val="18"/>
                <w:szCs w:val="18"/>
                <w:lang w:val="en-MY"/>
              </w:rPr>
            </w:pPr>
            <w:r w:rsidRPr="00D71833">
              <w:rPr>
                <w:b/>
                <w:bCs/>
                <w:sz w:val="18"/>
                <w:szCs w:val="18"/>
                <w:lang w:val="en-MY"/>
              </w:rPr>
              <w:t>Model Used</w:t>
            </w:r>
          </w:p>
        </w:tc>
        <w:tc>
          <w:tcPr>
            <w:tcW w:w="2338" w:type="dxa"/>
            <w:tcBorders>
              <w:top w:val="single" w:sz="4" w:space="0" w:color="auto"/>
              <w:bottom w:val="single" w:sz="4" w:space="0" w:color="auto"/>
            </w:tcBorders>
          </w:tcPr>
          <w:p w14:paraId="2107153A" w14:textId="44FB6C7D" w:rsidR="006D0512" w:rsidRPr="00D71833" w:rsidRDefault="006D0512" w:rsidP="00A451CC">
            <w:pPr>
              <w:pStyle w:val="Paragraph"/>
              <w:ind w:firstLine="0"/>
              <w:jc w:val="center"/>
              <w:rPr>
                <w:b/>
                <w:sz w:val="18"/>
                <w:szCs w:val="18"/>
                <w:lang w:val="en-MY"/>
              </w:rPr>
            </w:pPr>
            <w:r w:rsidRPr="00D71833">
              <w:rPr>
                <w:b/>
                <w:bCs/>
                <w:sz w:val="18"/>
                <w:szCs w:val="18"/>
                <w:lang w:val="en-MY"/>
              </w:rPr>
              <w:t>SR</w:t>
            </w:r>
          </w:p>
        </w:tc>
        <w:tc>
          <w:tcPr>
            <w:tcW w:w="2338" w:type="dxa"/>
            <w:tcBorders>
              <w:top w:val="single" w:sz="4" w:space="0" w:color="auto"/>
              <w:bottom w:val="single" w:sz="4" w:space="0" w:color="auto"/>
            </w:tcBorders>
          </w:tcPr>
          <w:p w14:paraId="27C604F3" w14:textId="76C37E4B" w:rsidR="006D0512" w:rsidRPr="00D71833" w:rsidRDefault="006D0512" w:rsidP="00A451CC">
            <w:pPr>
              <w:pStyle w:val="Paragraph"/>
              <w:ind w:firstLine="0"/>
              <w:jc w:val="center"/>
              <w:rPr>
                <w:b/>
                <w:sz w:val="18"/>
                <w:szCs w:val="18"/>
                <w:lang w:val="en-MY"/>
              </w:rPr>
            </w:pPr>
            <w:r w:rsidRPr="00D71833">
              <w:rPr>
                <w:b/>
                <w:bCs/>
                <w:sz w:val="18"/>
                <w:szCs w:val="18"/>
                <w:lang w:val="en-MY"/>
              </w:rPr>
              <w:t>MDD (%</w:t>
            </w:r>
            <w:r w:rsidR="00763C1A" w:rsidRPr="00D71833">
              <w:rPr>
                <w:b/>
                <w:bCs/>
                <w:sz w:val="18"/>
                <w:szCs w:val="18"/>
                <w:lang w:val="en-MY"/>
              </w:rPr>
              <w:t>)</w:t>
            </w:r>
          </w:p>
        </w:tc>
      </w:tr>
      <w:tr w:rsidR="006D0512" w:rsidRPr="00D71833" w14:paraId="0F0DA1E3" w14:textId="77777777" w:rsidTr="00464C88">
        <w:tc>
          <w:tcPr>
            <w:tcW w:w="2547" w:type="dxa"/>
            <w:tcBorders>
              <w:top w:val="single" w:sz="4" w:space="0" w:color="auto"/>
            </w:tcBorders>
          </w:tcPr>
          <w:p w14:paraId="2FA7F4AC" w14:textId="3E27BB0A" w:rsidR="006D0512" w:rsidRPr="00D71833" w:rsidRDefault="00000000" w:rsidP="00A451CC">
            <w:pPr>
              <w:pStyle w:val="Paragraph"/>
              <w:ind w:firstLine="0"/>
              <w:jc w:val="center"/>
              <w:rPr>
                <w:lang w:val="en-MY"/>
              </w:rPr>
            </w:pPr>
            <w:sdt>
              <w:sdtPr>
                <w:rPr>
                  <w:color w:val="000000"/>
                  <w:lang w:val="en-MY"/>
                </w:rPr>
                <w:tag w:val="MENDELEY_CITATION_v3_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"/>
                <w:id w:val="467867342"/>
                <w:placeholder>
                  <w:docPart w:val="DefaultPlaceholder_-1854013440"/>
                </w:placeholder>
              </w:sdtPr>
              <w:sdtContent>
                <w:r w:rsidR="00424C87" w:rsidRPr="00D71833">
                  <w:rPr>
                    <w:color w:val="000000"/>
                    <w:lang w:val="en-MY"/>
                  </w:rPr>
                  <w:t>Huang et al</w:t>
                </w:r>
                <w:r w:rsidR="0053619A" w:rsidRPr="00D71833">
                  <w:rPr>
                    <w:color w:val="000000"/>
                    <w:lang w:val="en-MY"/>
                  </w:rPr>
                  <w:t>. [</w:t>
                </w:r>
                <w:r w:rsidR="00B97D31" w:rsidRPr="00D71833">
                  <w:rPr>
                    <w:color w:val="000000"/>
                    <w:lang w:val="en-MY"/>
                  </w:rPr>
                  <w:t>8</w:t>
                </w:r>
                <w:r w:rsidR="0053619A" w:rsidRPr="00D71833">
                  <w:rPr>
                    <w:color w:val="000000"/>
                    <w:lang w:val="en-MY"/>
                  </w:rPr>
                  <w:t>]</w:t>
                </w:r>
              </w:sdtContent>
            </w:sdt>
          </w:p>
        </w:tc>
        <w:tc>
          <w:tcPr>
            <w:tcW w:w="2127" w:type="dxa"/>
            <w:tcBorders>
              <w:top w:val="single" w:sz="4" w:space="0" w:color="auto"/>
            </w:tcBorders>
          </w:tcPr>
          <w:p w14:paraId="596235C9" w14:textId="6A6180F5" w:rsidR="006D0512" w:rsidRPr="00D71833" w:rsidRDefault="00076BF4" w:rsidP="00A451CC">
            <w:pPr>
              <w:pStyle w:val="Paragraph"/>
              <w:ind w:firstLine="0"/>
              <w:jc w:val="center"/>
              <w:rPr>
                <w:lang w:val="en-MY"/>
              </w:rPr>
            </w:pPr>
            <w:r w:rsidRPr="00D71833">
              <w:rPr>
                <w:lang w:val="en-MY"/>
              </w:rPr>
              <w:t>DADE-DQN</w:t>
            </w:r>
          </w:p>
        </w:tc>
        <w:tc>
          <w:tcPr>
            <w:tcW w:w="2338" w:type="dxa"/>
            <w:tcBorders>
              <w:top w:val="single" w:sz="4" w:space="0" w:color="auto"/>
            </w:tcBorders>
          </w:tcPr>
          <w:p w14:paraId="27B64EEA" w14:textId="69244740" w:rsidR="006D0512" w:rsidRPr="00D71833" w:rsidRDefault="00AF3B62" w:rsidP="00A451CC">
            <w:pPr>
              <w:pStyle w:val="Paragraph"/>
              <w:ind w:firstLine="0"/>
              <w:jc w:val="center"/>
              <w:rPr>
                <w:lang w:val="en-MY"/>
              </w:rPr>
            </w:pPr>
            <w:r w:rsidRPr="00D71833">
              <w:rPr>
                <w:lang w:val="en-MY"/>
              </w:rPr>
              <w:t>1.20</w:t>
            </w:r>
          </w:p>
        </w:tc>
        <w:tc>
          <w:tcPr>
            <w:tcW w:w="2338" w:type="dxa"/>
            <w:tcBorders>
              <w:top w:val="single" w:sz="4" w:space="0" w:color="auto"/>
            </w:tcBorders>
          </w:tcPr>
          <w:p w14:paraId="17FE3A42" w14:textId="795EEDF4" w:rsidR="006D0512" w:rsidRPr="00D71833" w:rsidRDefault="001A2892" w:rsidP="00A451CC">
            <w:pPr>
              <w:pStyle w:val="Paragraph"/>
              <w:ind w:firstLine="0"/>
              <w:jc w:val="center"/>
              <w:rPr>
                <w:lang w:val="en-MY"/>
              </w:rPr>
            </w:pPr>
            <w:r w:rsidRPr="00D71833">
              <w:rPr>
                <w:lang w:val="en-MY"/>
              </w:rPr>
              <w:t>- 13.95</w:t>
            </w:r>
          </w:p>
        </w:tc>
      </w:tr>
      <w:tr w:rsidR="006D0512" w:rsidRPr="00D71833" w14:paraId="65F57FB7" w14:textId="77777777" w:rsidTr="006802A8">
        <w:tc>
          <w:tcPr>
            <w:tcW w:w="2547" w:type="dxa"/>
          </w:tcPr>
          <w:p w14:paraId="190845E1" w14:textId="0A1C5853" w:rsidR="006D0512" w:rsidRPr="00D71833" w:rsidRDefault="00000000" w:rsidP="00A451CC">
            <w:pPr>
              <w:pStyle w:val="Paragraph"/>
              <w:ind w:firstLine="0"/>
              <w:jc w:val="center"/>
              <w:rPr>
                <w:lang w:val="en-MY"/>
              </w:rPr>
            </w:pPr>
            <w:sdt>
              <w:sdtPr>
                <w:rPr>
                  <w:color w:val="000000"/>
                  <w:lang w:val="en-MY"/>
                </w:rPr>
                <w:tag w:val="MENDELEY_CITATION_v3_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"/>
                <w:id w:val="-2011826904"/>
                <w:placeholder>
                  <w:docPart w:val="DefaultPlaceholder_-1854013440"/>
                </w:placeholder>
              </w:sdtPr>
              <w:sdtContent>
                <w:r w:rsidR="00424C87" w:rsidRPr="00D71833">
                  <w:rPr>
                    <w:color w:val="000000"/>
                    <w:lang w:val="en-MY"/>
                  </w:rPr>
                  <w:t>Fu et al</w:t>
                </w:r>
                <w:r w:rsidR="0053619A" w:rsidRPr="00D71833">
                  <w:rPr>
                    <w:color w:val="000000"/>
                    <w:lang w:val="en-MY"/>
                  </w:rPr>
                  <w:t>. [</w:t>
                </w:r>
                <w:r w:rsidR="00D71833" w:rsidRPr="00D71833">
                  <w:rPr>
                    <w:color w:val="000000"/>
                    <w:lang w:val="en-MY"/>
                  </w:rPr>
                  <w:t>10</w:t>
                </w:r>
                <w:r w:rsidR="0053619A" w:rsidRPr="00D71833">
                  <w:rPr>
                    <w:color w:val="000000"/>
                    <w:lang w:val="en-MY"/>
                  </w:rPr>
                  <w:t>]</w:t>
                </w:r>
              </w:sdtContent>
            </w:sdt>
          </w:p>
        </w:tc>
        <w:tc>
          <w:tcPr>
            <w:tcW w:w="2127" w:type="dxa"/>
          </w:tcPr>
          <w:p w14:paraId="6D6D75FE" w14:textId="4629F2D8" w:rsidR="006D0512" w:rsidRPr="00D71833" w:rsidRDefault="00076BF4" w:rsidP="00A451CC">
            <w:pPr>
              <w:pStyle w:val="Paragraph"/>
              <w:ind w:firstLine="0"/>
              <w:jc w:val="center"/>
              <w:rPr>
                <w:lang w:val="en-MY"/>
              </w:rPr>
            </w:pPr>
            <w:r w:rsidRPr="00D71833">
              <w:rPr>
                <w:lang w:val="en-MY"/>
              </w:rPr>
              <w:t>LSTM-DDPG</w:t>
            </w:r>
          </w:p>
        </w:tc>
        <w:tc>
          <w:tcPr>
            <w:tcW w:w="2338" w:type="dxa"/>
          </w:tcPr>
          <w:p w14:paraId="1B548664" w14:textId="3862C656" w:rsidR="006D0512" w:rsidRPr="00D71833" w:rsidRDefault="00AF3B62" w:rsidP="00A451CC">
            <w:pPr>
              <w:pStyle w:val="Paragraph"/>
              <w:ind w:firstLine="0"/>
              <w:jc w:val="center"/>
              <w:rPr>
                <w:lang w:val="en-MY"/>
              </w:rPr>
            </w:pPr>
            <w:r w:rsidRPr="00D71833">
              <w:rPr>
                <w:lang w:val="en-MY"/>
              </w:rPr>
              <w:t>0.74</w:t>
            </w:r>
          </w:p>
        </w:tc>
        <w:tc>
          <w:tcPr>
            <w:tcW w:w="2338" w:type="dxa"/>
          </w:tcPr>
          <w:p w14:paraId="14B45A36" w14:textId="7C004D04" w:rsidR="006D0512" w:rsidRPr="00D71833" w:rsidRDefault="001A2892" w:rsidP="00A451CC">
            <w:pPr>
              <w:pStyle w:val="Paragraph"/>
              <w:ind w:firstLine="0"/>
              <w:jc w:val="center"/>
              <w:rPr>
                <w:lang w:val="en-MY"/>
              </w:rPr>
            </w:pPr>
            <w:r w:rsidRPr="00D71833">
              <w:rPr>
                <w:lang w:val="en-MY"/>
              </w:rPr>
              <w:t xml:space="preserve">- 30.91 </w:t>
            </w:r>
          </w:p>
        </w:tc>
      </w:tr>
      <w:tr w:rsidR="006D0512" w:rsidRPr="00D71833" w14:paraId="0DC9956B" w14:textId="77777777" w:rsidTr="006802A8">
        <w:tc>
          <w:tcPr>
            <w:tcW w:w="2547" w:type="dxa"/>
          </w:tcPr>
          <w:p w14:paraId="16316EDE" w14:textId="34E55353" w:rsidR="006D0512" w:rsidRPr="00D71833" w:rsidRDefault="00000000" w:rsidP="00A451CC">
            <w:pPr>
              <w:pStyle w:val="Paragraph"/>
              <w:ind w:firstLine="0"/>
              <w:jc w:val="center"/>
              <w:rPr>
                <w:lang w:val="en-MY"/>
              </w:rPr>
            </w:pPr>
            <w:sdt>
              <w:sdtPr>
                <w:rPr>
                  <w:color w:val="000000"/>
                  <w:lang w:val="en-MY"/>
                </w:rPr>
                <w:tag w:val="MENDELEY_CITATION_v3_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"/>
                <w:id w:val="-141823571"/>
                <w:placeholder>
                  <w:docPart w:val="DefaultPlaceholder_-1854013440"/>
                </w:placeholder>
              </w:sdtPr>
              <w:sdtContent>
                <w:r w:rsidR="00424C87" w:rsidRPr="00D71833">
                  <w:rPr>
                    <w:color w:val="000000"/>
                    <w:lang w:val="en-MY"/>
                  </w:rPr>
                  <w:t>Ansari et al.</w:t>
                </w:r>
                <w:r w:rsidR="0053619A" w:rsidRPr="00D71833">
                  <w:rPr>
                    <w:color w:val="000000"/>
                    <w:lang w:val="en-MY"/>
                  </w:rPr>
                  <w:t xml:space="preserve"> [</w:t>
                </w:r>
                <w:r w:rsidR="00B97D31" w:rsidRPr="00D71833">
                  <w:rPr>
                    <w:color w:val="000000"/>
                    <w:lang w:val="en-MY"/>
                  </w:rPr>
                  <w:t>1</w:t>
                </w:r>
                <w:r w:rsidR="00D71833" w:rsidRPr="00D71833">
                  <w:rPr>
                    <w:color w:val="000000"/>
                    <w:lang w:val="en-MY"/>
                  </w:rPr>
                  <w:t>1</w:t>
                </w:r>
                <w:r w:rsidR="0053619A" w:rsidRPr="00D71833">
                  <w:rPr>
                    <w:color w:val="000000"/>
                    <w:lang w:val="en-MY"/>
                  </w:rPr>
                  <w:t>]</w:t>
                </w:r>
              </w:sdtContent>
            </w:sdt>
          </w:p>
        </w:tc>
        <w:tc>
          <w:tcPr>
            <w:tcW w:w="2127" w:type="dxa"/>
          </w:tcPr>
          <w:p w14:paraId="0176F6E5" w14:textId="27EDD7AA" w:rsidR="006D0512" w:rsidRPr="00D71833" w:rsidRDefault="00076BF4" w:rsidP="00A451CC">
            <w:pPr>
              <w:pStyle w:val="Paragraph"/>
              <w:ind w:firstLine="0"/>
              <w:jc w:val="center"/>
              <w:rPr>
                <w:lang w:val="en-MY"/>
              </w:rPr>
            </w:pPr>
            <w:r w:rsidRPr="00D71833">
              <w:rPr>
                <w:lang w:val="en-MY"/>
              </w:rPr>
              <w:t>DQN-GRU</w:t>
            </w:r>
          </w:p>
        </w:tc>
        <w:tc>
          <w:tcPr>
            <w:tcW w:w="2338" w:type="dxa"/>
          </w:tcPr>
          <w:p w14:paraId="4BEA642A" w14:textId="64AEF93D" w:rsidR="006D0512" w:rsidRPr="00D71833" w:rsidRDefault="00AF3B62" w:rsidP="00A451CC">
            <w:pPr>
              <w:pStyle w:val="Paragraph"/>
              <w:ind w:firstLine="0"/>
              <w:jc w:val="center"/>
              <w:rPr>
                <w:lang w:val="en-MY"/>
              </w:rPr>
            </w:pPr>
            <w:r w:rsidRPr="00D71833">
              <w:rPr>
                <w:lang w:val="en-MY"/>
              </w:rPr>
              <w:t>0.69</w:t>
            </w:r>
          </w:p>
        </w:tc>
        <w:tc>
          <w:tcPr>
            <w:tcW w:w="2338" w:type="dxa"/>
          </w:tcPr>
          <w:p w14:paraId="7A118934" w14:textId="1407F0AF" w:rsidR="006D0512" w:rsidRPr="00D71833" w:rsidRDefault="001A2892" w:rsidP="00A451CC">
            <w:pPr>
              <w:pStyle w:val="Paragraph"/>
              <w:ind w:firstLine="0"/>
              <w:jc w:val="center"/>
              <w:rPr>
                <w:lang w:val="en-MY"/>
              </w:rPr>
            </w:pPr>
            <w:r w:rsidRPr="00D71833">
              <w:rPr>
                <w:lang w:val="en-MY"/>
              </w:rPr>
              <w:t>- 34.20</w:t>
            </w:r>
          </w:p>
        </w:tc>
      </w:tr>
      <w:tr w:rsidR="004628EB" w:rsidRPr="00D71833" w14:paraId="50B63851" w14:textId="77777777" w:rsidTr="00464C88">
        <w:tc>
          <w:tcPr>
            <w:tcW w:w="2547" w:type="dxa"/>
          </w:tcPr>
          <w:p w14:paraId="0975D15D" w14:textId="74A7F34F" w:rsidR="004628EB" w:rsidRPr="00D71833" w:rsidRDefault="00000000" w:rsidP="00A451CC">
            <w:pPr>
              <w:pStyle w:val="Paragraph"/>
              <w:ind w:firstLine="0"/>
              <w:jc w:val="center"/>
              <w:rPr>
                <w:lang w:val="en-MY"/>
              </w:rPr>
            </w:pPr>
            <w:sdt>
              <w:sdtPr>
                <w:rPr>
                  <w:color w:val="000000"/>
                  <w:lang w:val="en-MY"/>
                </w:rPr>
                <w:tag w:val="MENDELEY_CITATION_v3_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"/>
                <w:id w:val="-212197419"/>
                <w:placeholder>
                  <w:docPart w:val="83773414DC794576B9DD6298A9669C70"/>
                </w:placeholder>
              </w:sdtPr>
              <w:sdtContent>
                <w:r w:rsidR="004628EB" w:rsidRPr="00D71833">
                  <w:rPr>
                    <w:color w:val="000000"/>
                    <w:lang w:val="en-MY"/>
                  </w:rPr>
                  <w:t>Th</w:t>
                </w:r>
                <w:proofErr w:type="spellStart"/>
                <w:r w:rsidR="004628EB" w:rsidRPr="00D71833">
                  <w:t>éate</w:t>
                </w:r>
                <w:proofErr w:type="spellEnd"/>
                <w:r w:rsidR="004628EB" w:rsidRPr="00D71833">
                  <w:t xml:space="preserve"> and Ernst</w:t>
                </w:r>
                <w:r w:rsidR="0053619A" w:rsidRPr="00D71833">
                  <w:t xml:space="preserve"> [1</w:t>
                </w:r>
                <w:r w:rsidR="00D71833" w:rsidRPr="00D71833">
                  <w:t>2</w:t>
                </w:r>
                <w:r w:rsidR="0053619A" w:rsidRPr="00D71833">
                  <w:t>]</w:t>
                </w:r>
              </w:sdtContent>
            </w:sdt>
          </w:p>
        </w:tc>
        <w:tc>
          <w:tcPr>
            <w:tcW w:w="2127" w:type="dxa"/>
          </w:tcPr>
          <w:p w14:paraId="07ED85B3" w14:textId="00623190" w:rsidR="004628EB" w:rsidRPr="00D71833" w:rsidRDefault="004628EB" w:rsidP="00A451CC">
            <w:pPr>
              <w:pStyle w:val="Paragraph"/>
              <w:ind w:firstLine="0"/>
              <w:jc w:val="center"/>
              <w:rPr>
                <w:lang w:val="en-MY"/>
              </w:rPr>
            </w:pPr>
            <w:r w:rsidRPr="00D71833">
              <w:rPr>
                <w:lang w:val="en-MY"/>
              </w:rPr>
              <w:t>TDQN</w:t>
            </w:r>
          </w:p>
        </w:tc>
        <w:tc>
          <w:tcPr>
            <w:tcW w:w="2338" w:type="dxa"/>
          </w:tcPr>
          <w:p w14:paraId="3E2EDE3F" w14:textId="3355A1F9" w:rsidR="004628EB" w:rsidRPr="00D71833" w:rsidRDefault="00947B65" w:rsidP="00A451CC">
            <w:pPr>
              <w:pStyle w:val="Paragraph"/>
              <w:ind w:firstLine="0"/>
              <w:jc w:val="center"/>
              <w:rPr>
                <w:lang w:val="en-MY"/>
              </w:rPr>
            </w:pPr>
            <w:r w:rsidRPr="00D71833">
              <w:rPr>
                <w:lang w:val="en-MY"/>
              </w:rPr>
              <w:t>1.48</w:t>
            </w:r>
          </w:p>
        </w:tc>
        <w:tc>
          <w:tcPr>
            <w:tcW w:w="2338" w:type="dxa"/>
          </w:tcPr>
          <w:p w14:paraId="2710F5E6" w14:textId="4114F21C" w:rsidR="004628EB" w:rsidRPr="00D71833" w:rsidRDefault="004628EB" w:rsidP="00A451CC">
            <w:pPr>
              <w:pStyle w:val="Paragraph"/>
              <w:ind w:firstLine="0"/>
              <w:jc w:val="center"/>
              <w:rPr>
                <w:lang w:val="en-MY"/>
              </w:rPr>
            </w:pPr>
            <w:r w:rsidRPr="00D71833">
              <w:rPr>
                <w:lang w:val="en-MY"/>
              </w:rPr>
              <w:t xml:space="preserve">- </w:t>
            </w:r>
            <w:r w:rsidR="00947B65" w:rsidRPr="00D71833">
              <w:rPr>
                <w:lang w:val="en-MY"/>
              </w:rPr>
              <w:t>17.31</w:t>
            </w:r>
          </w:p>
        </w:tc>
      </w:tr>
      <w:tr w:rsidR="004628EB" w:rsidRPr="00D71833" w14:paraId="67C23EA3" w14:textId="77777777" w:rsidTr="00464C88">
        <w:trPr>
          <w:trHeight w:val="300"/>
        </w:trPr>
        <w:tc>
          <w:tcPr>
            <w:tcW w:w="2547" w:type="dxa"/>
            <w:tcBorders>
              <w:bottom w:val="single" w:sz="4" w:space="0" w:color="auto"/>
            </w:tcBorders>
          </w:tcPr>
          <w:p w14:paraId="41B4EBC9" w14:textId="3BFF36B1" w:rsidR="004628EB" w:rsidRPr="00D71833" w:rsidRDefault="0053619A" w:rsidP="00A451CC">
            <w:pPr>
              <w:pStyle w:val="Paragraph"/>
              <w:ind w:firstLine="0"/>
              <w:jc w:val="center"/>
              <w:rPr>
                <w:b/>
                <w:lang w:val="en-MY"/>
              </w:rPr>
            </w:pPr>
            <w:r w:rsidRPr="00D71833">
              <w:rPr>
                <w:b/>
                <w:bCs/>
                <w:lang w:val="en-MY"/>
              </w:rPr>
              <w:t>Proposed</w:t>
            </w:r>
            <w:r w:rsidR="004628EB" w:rsidRPr="00D71833">
              <w:rPr>
                <w:b/>
                <w:bCs/>
                <w:lang w:val="en-MY"/>
              </w:rPr>
              <w:t xml:space="preserve"> Model</w:t>
            </w:r>
          </w:p>
        </w:tc>
        <w:tc>
          <w:tcPr>
            <w:tcW w:w="2127" w:type="dxa"/>
            <w:tcBorders>
              <w:bottom w:val="single" w:sz="4" w:space="0" w:color="auto"/>
            </w:tcBorders>
          </w:tcPr>
          <w:p w14:paraId="54C65649" w14:textId="16D5CB6E" w:rsidR="004628EB" w:rsidRPr="00D71833" w:rsidRDefault="004628EB" w:rsidP="00A451CC">
            <w:pPr>
              <w:pStyle w:val="Paragraph"/>
              <w:ind w:firstLine="0"/>
              <w:jc w:val="center"/>
              <w:rPr>
                <w:b/>
                <w:lang w:val="en-MY"/>
              </w:rPr>
            </w:pPr>
            <w:r w:rsidRPr="00D71833">
              <w:rPr>
                <w:b/>
                <w:bCs/>
                <w:lang w:val="en-MY"/>
              </w:rPr>
              <w:t>PPO-Transformer</w:t>
            </w:r>
          </w:p>
        </w:tc>
        <w:tc>
          <w:tcPr>
            <w:tcW w:w="2338" w:type="dxa"/>
            <w:tcBorders>
              <w:bottom w:val="single" w:sz="4" w:space="0" w:color="auto"/>
            </w:tcBorders>
          </w:tcPr>
          <w:p w14:paraId="57E9074F" w14:textId="372E254D" w:rsidR="004628EB" w:rsidRPr="00D71833" w:rsidRDefault="004628EB" w:rsidP="00A451CC">
            <w:pPr>
              <w:pStyle w:val="Paragraph"/>
              <w:ind w:firstLine="0"/>
              <w:jc w:val="center"/>
              <w:rPr>
                <w:b/>
                <w:lang w:val="en-MY"/>
              </w:rPr>
            </w:pPr>
            <w:r w:rsidRPr="00D71833">
              <w:rPr>
                <w:b/>
                <w:lang w:val="en-MY"/>
              </w:rPr>
              <w:t>1.05</w:t>
            </w:r>
          </w:p>
        </w:tc>
        <w:tc>
          <w:tcPr>
            <w:tcW w:w="2338" w:type="dxa"/>
            <w:tcBorders>
              <w:bottom w:val="single" w:sz="4" w:space="0" w:color="auto"/>
            </w:tcBorders>
          </w:tcPr>
          <w:p w14:paraId="21CA44E8" w14:textId="76F692DD" w:rsidR="004628EB" w:rsidRPr="00D71833" w:rsidRDefault="004628EB" w:rsidP="00A451CC">
            <w:pPr>
              <w:pStyle w:val="Paragraph"/>
              <w:ind w:firstLine="0"/>
              <w:jc w:val="center"/>
              <w:rPr>
                <w:b/>
                <w:lang w:val="en-MY"/>
              </w:rPr>
            </w:pPr>
            <w:r w:rsidRPr="00D71833">
              <w:rPr>
                <w:b/>
                <w:bCs/>
                <w:lang w:val="en-MY"/>
              </w:rPr>
              <w:t>- 31.56</w:t>
            </w:r>
          </w:p>
        </w:tc>
      </w:tr>
    </w:tbl>
    <w:p w14:paraId="37AB3818" w14:textId="75B3DD8F" w:rsidR="0043672D" w:rsidRPr="00D71833" w:rsidRDefault="0043672D" w:rsidP="00A451CC">
      <w:pPr>
        <w:pStyle w:val="Heading1"/>
      </w:pPr>
      <w:r w:rsidRPr="00D71833">
        <w:t>Conclusion</w:t>
      </w:r>
    </w:p>
    <w:p w14:paraId="06544804" w14:textId="4F3430EA" w:rsidR="00722CC6" w:rsidRPr="00D71833" w:rsidRDefault="0037567B" w:rsidP="00A451CC">
      <w:pPr>
        <w:pStyle w:val="Paragraph"/>
      </w:pPr>
      <w:r w:rsidRPr="00D71833">
        <w:t xml:space="preserve">This research presents a deep reinforcement learning framework, the PPO-Transformer, which integrates Proximal Policy Optimization (PPO) with a Transformer-based architecture to enhance temporal </w:t>
      </w:r>
      <w:r w:rsidR="007C6FF6" w:rsidRPr="00D71833">
        <w:t>modelling</w:t>
      </w:r>
      <w:r w:rsidRPr="00D71833">
        <w:t xml:space="preserve"> and decision-making capabilities. Unlike traditional models such as </w:t>
      </w:r>
      <w:r w:rsidR="00B6137D" w:rsidRPr="00D71833">
        <w:t>Linear Regression</w:t>
      </w:r>
      <w:r w:rsidRPr="00D71833">
        <w:t xml:space="preserve"> or </w:t>
      </w:r>
      <w:r w:rsidR="00B6137D" w:rsidRPr="00D71833">
        <w:t>Random Forest</w:t>
      </w:r>
      <w:r w:rsidRPr="00D71833">
        <w:t xml:space="preserve">, the Transformer component effectively captures long-term dependencies in sequential financial data, leading to more informed and stable policy learning. The PPO-Transformer was evaluated across </w:t>
      </w:r>
      <w:r w:rsidR="00B47C98" w:rsidRPr="00D71833">
        <w:t>four</w:t>
      </w:r>
      <w:r w:rsidRPr="00D71833">
        <w:t xml:space="preserve"> financial datasets</w:t>
      </w:r>
      <w:r w:rsidR="00B47C98" w:rsidRPr="00D71833">
        <w:t xml:space="preserve"> which </w:t>
      </w:r>
      <w:proofErr w:type="gramStart"/>
      <w:r w:rsidR="00B47C98" w:rsidRPr="00D71833">
        <w:t>is</w:t>
      </w:r>
      <w:proofErr w:type="gramEnd"/>
      <w:r w:rsidR="00B47C98" w:rsidRPr="00D71833">
        <w:t xml:space="preserve"> </w:t>
      </w:r>
      <w:r w:rsidRPr="00D71833">
        <w:t xml:space="preserve">Gold, </w:t>
      </w:r>
      <w:r w:rsidR="00B47C98" w:rsidRPr="00D71833">
        <w:t>Microsoft</w:t>
      </w:r>
      <w:r w:rsidRPr="00D71833">
        <w:t>,</w:t>
      </w:r>
      <w:r w:rsidR="00B47C98" w:rsidRPr="00D71833">
        <w:t xml:space="preserve"> Oracle</w:t>
      </w:r>
      <w:r w:rsidRPr="00D71833">
        <w:t xml:space="preserve"> and </w:t>
      </w:r>
      <w:r w:rsidR="00B47C98" w:rsidRPr="00D71833">
        <w:t xml:space="preserve">Nvidia </w:t>
      </w:r>
      <w:r w:rsidRPr="00D71833">
        <w:t xml:space="preserve">where it achieved a strong average </w:t>
      </w:r>
      <w:r w:rsidR="00863BFC" w:rsidRPr="00D71833">
        <w:t>total profit of</w:t>
      </w:r>
      <w:r w:rsidR="00B97F94" w:rsidRPr="00D71833">
        <w:t xml:space="preserve"> 11</w:t>
      </w:r>
      <w:r w:rsidR="00417E1E" w:rsidRPr="00D71833">
        <w:t>1.2</w:t>
      </w:r>
      <w:r w:rsidR="00B97F94" w:rsidRPr="00D71833">
        <w:t>1</w:t>
      </w:r>
      <w:r w:rsidRPr="00D71833">
        <w:t xml:space="preserve">, demonstrating superior annualized returns. Moreover, the model achieved a Sharpe Ratio (SR) of </w:t>
      </w:r>
      <w:r w:rsidR="00417E1E" w:rsidRPr="00D71833">
        <w:t>1.0</w:t>
      </w:r>
      <w:r w:rsidR="00AE4CAA" w:rsidRPr="00D71833">
        <w:t>5</w:t>
      </w:r>
      <w:r w:rsidRPr="00D71833">
        <w:t xml:space="preserve"> and a Maximum Drawdown (MDD) of -</w:t>
      </w:r>
      <w:r w:rsidR="00AE4CAA" w:rsidRPr="00D71833">
        <w:t>31</w:t>
      </w:r>
      <w:r w:rsidR="00417E1E" w:rsidRPr="00D71833">
        <w:t>.</w:t>
      </w:r>
      <w:r w:rsidR="00AE4CAA" w:rsidRPr="00D71833">
        <w:t>56</w:t>
      </w:r>
      <w:r w:rsidRPr="00D71833">
        <w:t>%, reflecting a balanced trade-off between return and risk. Comparative analysis with other state-of-the-art DRL models, including DADE-DQN, LSTM-DDPG, DQN-GRU, and DQN-LSTM, shows that the PPO-Transformer is competitive in terms of performance and robustness. Additionally, the modular nature of the proposed framework offers strong potential for generalization to other DRL tasks beyond financial domains.</w:t>
      </w:r>
    </w:p>
    <w:p w14:paraId="54C9FBF6" w14:textId="642753D5" w:rsidR="006C0220" w:rsidRPr="00D71833" w:rsidRDefault="006C0220" w:rsidP="00A451CC">
      <w:pPr>
        <w:pStyle w:val="Heading1"/>
        <w:rPr>
          <w:lang w:val="en-MY"/>
        </w:rPr>
      </w:pPr>
      <w:r w:rsidRPr="00D71833">
        <w:rPr>
          <w:lang w:val="en-MY"/>
        </w:rPr>
        <w:t>References</w:t>
      </w:r>
    </w:p>
    <w:p w14:paraId="17C9523D" w14:textId="77777777" w:rsidR="00E1789F" w:rsidRPr="00D71833" w:rsidRDefault="00E1789F" w:rsidP="00A451CC">
      <w:pPr>
        <w:pStyle w:val="Paragraph"/>
        <w:ind w:firstLine="0"/>
      </w:pPr>
    </w:p>
    <w:p w14:paraId="3C751F83" w14:textId="77777777" w:rsidR="00D71833" w:rsidRPr="00D71833" w:rsidRDefault="00D71833" w:rsidP="00D71833">
      <w:pPr>
        <w:pStyle w:val="Paragraph"/>
        <w:numPr>
          <w:ilvl w:val="0"/>
          <w:numId w:val="36"/>
        </w:numPr>
        <w:ind w:left="432" w:hanging="432"/>
      </w:pPr>
      <w:r w:rsidRPr="00D71833">
        <w:t xml:space="preserve">N.P.J.R. Dewi, N.L.W.S.R. </w:t>
      </w:r>
      <w:proofErr w:type="spellStart"/>
      <w:r w:rsidRPr="00D71833">
        <w:t>Ginantra</w:t>
      </w:r>
      <w:proofErr w:type="spellEnd"/>
      <w:r w:rsidRPr="00D71833">
        <w:t xml:space="preserve">, I.W.A.S. Darma, and I.G.A. </w:t>
      </w:r>
      <w:proofErr w:type="spellStart"/>
      <w:r w:rsidRPr="00D71833">
        <w:t>Indrawan</w:t>
      </w:r>
      <w:proofErr w:type="spellEnd"/>
      <w:r w:rsidRPr="00D71833">
        <w:t>, “Application of Long Short-Term Memory (LSTM) and Gated Recurrent Unit (GRU) Algorithm in Gold Price Prediction,” in </w:t>
      </w:r>
      <w:r w:rsidRPr="00D71833">
        <w:rPr>
          <w:i/>
          <w:iCs/>
        </w:rPr>
        <w:t>2023 11th International Conference on Cyber and IT Service Management (CITSM)</w:t>
      </w:r>
      <w:r w:rsidRPr="00D71833">
        <w:t xml:space="preserve">, (IEEE, Makassar, Indonesia, 2023), pp. 1–6. </w:t>
      </w:r>
    </w:p>
    <w:p w14:paraId="7446C864" w14:textId="77777777" w:rsidR="00D71833" w:rsidRPr="00D71833" w:rsidRDefault="00D71833" w:rsidP="00D71833">
      <w:pPr>
        <w:pStyle w:val="Paragraph"/>
        <w:numPr>
          <w:ilvl w:val="0"/>
          <w:numId w:val="36"/>
        </w:numPr>
        <w:ind w:left="432" w:hanging="432"/>
      </w:pPr>
      <w:r w:rsidRPr="00D71833">
        <w:lastRenderedPageBreak/>
        <w:t xml:space="preserve">W.M.P. Dhuhita, M.F.A. Farid, A. </w:t>
      </w:r>
      <w:proofErr w:type="spellStart"/>
      <w:r w:rsidRPr="00D71833">
        <w:t>Yaqin</w:t>
      </w:r>
      <w:proofErr w:type="spellEnd"/>
      <w:r w:rsidRPr="00D71833">
        <w:t xml:space="preserve">, H. Haryoko, and A.A. Huda, “Gold Price Prediction Based </w:t>
      </w:r>
      <w:proofErr w:type="gramStart"/>
      <w:r w:rsidRPr="00D71833">
        <w:t>On</w:t>
      </w:r>
      <w:proofErr w:type="gramEnd"/>
      <w:r w:rsidRPr="00D71833">
        <w:t xml:space="preserve"> Yahoo Finance Data Using </w:t>
      </w:r>
      <w:proofErr w:type="spellStart"/>
      <w:r w:rsidRPr="00D71833">
        <w:t>Lstm</w:t>
      </w:r>
      <w:proofErr w:type="spellEnd"/>
      <w:r w:rsidRPr="00D71833">
        <w:t xml:space="preserve"> Algorithm,” in </w:t>
      </w:r>
      <w:r w:rsidRPr="00D71833">
        <w:rPr>
          <w:i/>
          <w:iCs/>
        </w:rPr>
        <w:t xml:space="preserve">2023 International Conference on Informatics, Multimedia, Cyber and </w:t>
      </w:r>
      <w:proofErr w:type="spellStart"/>
      <w:r w:rsidRPr="00D71833">
        <w:rPr>
          <w:i/>
          <w:iCs/>
        </w:rPr>
        <w:t>Informations</w:t>
      </w:r>
      <w:proofErr w:type="spellEnd"/>
      <w:r w:rsidRPr="00D71833">
        <w:rPr>
          <w:i/>
          <w:iCs/>
        </w:rPr>
        <w:t xml:space="preserve"> System (ICIMCIS)</w:t>
      </w:r>
      <w:r w:rsidRPr="00D71833">
        <w:t xml:space="preserve">, (IEEE, Jakarta Selatan, Indonesia, 2023), pp. 420–425. </w:t>
      </w:r>
    </w:p>
    <w:p w14:paraId="5A82A26E" w14:textId="77777777" w:rsidR="00D71833" w:rsidRPr="00D71833" w:rsidRDefault="00D71833" w:rsidP="00D71833">
      <w:pPr>
        <w:pStyle w:val="Paragraph"/>
        <w:numPr>
          <w:ilvl w:val="0"/>
          <w:numId w:val="36"/>
        </w:numPr>
        <w:ind w:left="432" w:hanging="432"/>
      </w:pPr>
      <w:r w:rsidRPr="00D71833">
        <w:t>A. Kumar, R. Rizk, and K. Santosh, “Transformer-based Reinforcement Learning Model for Optimized Quantitative Trading,” in </w:t>
      </w:r>
      <w:r w:rsidRPr="00D71833">
        <w:rPr>
          <w:i/>
          <w:iCs/>
        </w:rPr>
        <w:t>2024 IEEE Conference on Artificial Intelligence (CAI)</w:t>
      </w:r>
      <w:r w:rsidRPr="00D71833">
        <w:t xml:space="preserve">, (IEEE, Singapore, Singapore, 2024), pp. 1454–1455. U. Suliman, T.L. Van Zyl, and A. </w:t>
      </w:r>
      <w:proofErr w:type="spellStart"/>
      <w:r w:rsidRPr="00D71833">
        <w:t>Paskaramoorthy</w:t>
      </w:r>
      <w:proofErr w:type="spellEnd"/>
      <w:r w:rsidRPr="00D71833">
        <w:t>, “Cryptocurrency Trading Agent Using Deep Reinforcement Learning,” in </w:t>
      </w:r>
      <w:r w:rsidRPr="00D71833">
        <w:rPr>
          <w:i/>
          <w:iCs/>
        </w:rPr>
        <w:t>2022 9th International Conference on Soft Computing &amp; Machine Intelligence (ISCMI)</w:t>
      </w:r>
      <w:r w:rsidRPr="00D71833">
        <w:t xml:space="preserve">, (IEEE, Toronto, ON, Canada, 2022), pp. 6–10. </w:t>
      </w:r>
    </w:p>
    <w:p w14:paraId="609E4AC6" w14:textId="77777777" w:rsidR="00D71833" w:rsidRPr="00D71833" w:rsidRDefault="00D71833" w:rsidP="00D71833">
      <w:pPr>
        <w:pStyle w:val="Paragraph"/>
        <w:numPr>
          <w:ilvl w:val="0"/>
          <w:numId w:val="36"/>
        </w:numPr>
        <w:ind w:left="432" w:hanging="432"/>
      </w:pPr>
      <w:r w:rsidRPr="00D71833">
        <w:t>T. Kabbani, and E. Duman, “Deep Reinforcement Learning Approach for Trading Automation in the Stock Market,” IEEE Access </w:t>
      </w:r>
      <w:r w:rsidRPr="00D71833">
        <w:rPr>
          <w:b/>
          <w:bCs/>
        </w:rPr>
        <w:t>10</w:t>
      </w:r>
      <w:r w:rsidRPr="00D71833">
        <w:t xml:space="preserve">, 93564–93574 (2022). </w:t>
      </w:r>
    </w:p>
    <w:p w14:paraId="33A76E97" w14:textId="77777777" w:rsidR="00D71833" w:rsidRPr="00D71833" w:rsidRDefault="00D71833" w:rsidP="00D71833">
      <w:pPr>
        <w:pStyle w:val="Paragraph"/>
        <w:numPr>
          <w:ilvl w:val="0"/>
          <w:numId w:val="36"/>
        </w:numPr>
        <w:ind w:left="432" w:hanging="432"/>
      </w:pPr>
      <w:r w:rsidRPr="00D71833">
        <w:t xml:space="preserve">C. </w:t>
      </w:r>
      <w:proofErr w:type="spellStart"/>
      <w:r w:rsidRPr="00D71833">
        <w:t>Ekarittikrai</w:t>
      </w:r>
      <w:proofErr w:type="spellEnd"/>
      <w:r w:rsidRPr="00D71833">
        <w:t xml:space="preserve">, and E. </w:t>
      </w:r>
      <w:proofErr w:type="spellStart"/>
      <w:r w:rsidRPr="00D71833">
        <w:t>Rattagan</w:t>
      </w:r>
      <w:proofErr w:type="spellEnd"/>
      <w:r w:rsidRPr="00D71833">
        <w:t>, “Enhancing Market Making Strategies with Deep Reinforcement Learning-Based Quoting Decisions,” in </w:t>
      </w:r>
      <w:r w:rsidRPr="00D71833">
        <w:rPr>
          <w:i/>
          <w:iCs/>
        </w:rPr>
        <w:t>2024 21st International Joint Conference on Computer Science and Software Engineering (JCSSE)</w:t>
      </w:r>
      <w:r w:rsidRPr="00D71833">
        <w:t>, (IEEE, Phuket, Thailand, 2024), pp. 324–329.</w:t>
      </w:r>
    </w:p>
    <w:p w14:paraId="394A5678" w14:textId="77777777" w:rsidR="00D71833" w:rsidRPr="00D71833" w:rsidRDefault="00D71833" w:rsidP="00D71833">
      <w:pPr>
        <w:pStyle w:val="Paragraph"/>
        <w:numPr>
          <w:ilvl w:val="0"/>
          <w:numId w:val="36"/>
        </w:numPr>
        <w:ind w:left="432" w:hanging="432"/>
      </w:pPr>
      <w:r w:rsidRPr="00D71833">
        <w:t xml:space="preserve">U. Suliman, T.L. Van Zyl, and A. </w:t>
      </w:r>
      <w:proofErr w:type="spellStart"/>
      <w:r w:rsidRPr="00D71833">
        <w:t>Paskaramoorthy</w:t>
      </w:r>
      <w:proofErr w:type="spellEnd"/>
      <w:r w:rsidRPr="00D71833">
        <w:t>, “Cryptocurrency Trading Agent Using Deep Reinforcement Learning,” in </w:t>
      </w:r>
      <w:r w:rsidRPr="00D71833">
        <w:rPr>
          <w:i/>
          <w:iCs/>
        </w:rPr>
        <w:t>2022 9th International Conference on Soft Computing &amp; Machine Intelligence (ISCMI)</w:t>
      </w:r>
      <w:r w:rsidRPr="00D71833">
        <w:t>, (IEEE, Toronto, ON, Canada, 2022), pp. 6–10.</w:t>
      </w:r>
    </w:p>
    <w:p w14:paraId="73E41B99" w14:textId="77777777" w:rsidR="00D71833" w:rsidRPr="00D71833" w:rsidRDefault="00D71833" w:rsidP="00D71833">
      <w:pPr>
        <w:pStyle w:val="Paragraph"/>
        <w:numPr>
          <w:ilvl w:val="0"/>
          <w:numId w:val="36"/>
        </w:numPr>
        <w:ind w:left="432" w:hanging="432"/>
      </w:pPr>
      <w:r w:rsidRPr="00D71833">
        <w:t>Y. Zhao, G. Chetty, and D. Tran, “Deep Learning for Real Estate Trading,” in </w:t>
      </w:r>
      <w:r w:rsidRPr="00D71833">
        <w:rPr>
          <w:i/>
          <w:iCs/>
        </w:rPr>
        <w:t>2022 IEEE Asia-Pacific Conference on Computer Science and Data Engineering (CSDE)</w:t>
      </w:r>
      <w:r w:rsidRPr="00D71833">
        <w:t>, (IEEE, Gold Coast, Australia, 2022), pp. 1–7.</w:t>
      </w:r>
    </w:p>
    <w:p w14:paraId="1103ACE7" w14:textId="77777777" w:rsidR="00D71833" w:rsidRPr="00D71833" w:rsidRDefault="00D71833" w:rsidP="00D71833">
      <w:pPr>
        <w:pStyle w:val="Paragraph"/>
        <w:numPr>
          <w:ilvl w:val="0"/>
          <w:numId w:val="36"/>
        </w:numPr>
        <w:ind w:left="432" w:hanging="432"/>
      </w:pPr>
      <w:r w:rsidRPr="00D71833">
        <w:t>Y. Huang, X. Lu, C. Zhou, and Y. Song, “DADE-DQN: Dual Action and Dual Environment Deep Q-Network for Enhancing Stock Trading Strategy,” Mathematics 11(17), 3626 (2023).</w:t>
      </w:r>
    </w:p>
    <w:p w14:paraId="550CD82F" w14:textId="77777777" w:rsidR="00D71833" w:rsidRPr="00D71833" w:rsidRDefault="00D71833" w:rsidP="00D71833">
      <w:pPr>
        <w:pStyle w:val="Paragraph"/>
        <w:numPr>
          <w:ilvl w:val="0"/>
          <w:numId w:val="36"/>
        </w:numPr>
        <w:ind w:left="432" w:hanging="432"/>
      </w:pPr>
      <w:r w:rsidRPr="00D71833">
        <w:t xml:space="preserve">A.A.S. Gunawan, S. Bilqis Ashifa, R.Y. </w:t>
      </w:r>
      <w:proofErr w:type="spellStart"/>
      <w:r w:rsidRPr="00D71833">
        <w:t>Rumagit</w:t>
      </w:r>
      <w:proofErr w:type="spellEnd"/>
      <w:r w:rsidRPr="00D71833">
        <w:t xml:space="preserve">, and H. </w:t>
      </w:r>
      <w:proofErr w:type="spellStart"/>
      <w:r w:rsidRPr="00D71833">
        <w:t>Ngarianto</w:t>
      </w:r>
      <w:proofErr w:type="spellEnd"/>
      <w:r w:rsidRPr="00D71833">
        <w:t>, “Development of Stock Market Price Application to Predict Purchase and Sales Decisions Using Proximal Policy Optimization Method,” in </w:t>
      </w:r>
      <w:r w:rsidRPr="00D71833">
        <w:rPr>
          <w:i/>
          <w:iCs/>
        </w:rPr>
        <w:t>2021 1st International Conference on Computer Science and Artificial Intelligence (ICCSAI)</w:t>
      </w:r>
      <w:r w:rsidRPr="00D71833">
        <w:t>, (IEEE, Jakarta, Indonesia, 2021), pp. 431–437.</w:t>
      </w:r>
    </w:p>
    <w:p w14:paraId="68CE5ABD" w14:textId="77777777" w:rsidR="00D71833" w:rsidRPr="00D71833" w:rsidRDefault="00D71833" w:rsidP="00D71833">
      <w:pPr>
        <w:pStyle w:val="Paragraph"/>
        <w:numPr>
          <w:ilvl w:val="0"/>
          <w:numId w:val="36"/>
        </w:numPr>
        <w:ind w:left="432" w:hanging="432"/>
      </w:pPr>
      <w:r w:rsidRPr="00D71833">
        <w:t>K. Fu, Y. Yu, and B. Li, “Multi-Feature Supervised Reinforcement Learning for Stock Trading,” IEEE Access 11, 77840–77855 (2023).</w:t>
      </w:r>
    </w:p>
    <w:p w14:paraId="4F7BF26E" w14:textId="77777777" w:rsidR="00D71833" w:rsidRPr="00D71833" w:rsidRDefault="00D71833" w:rsidP="00D71833">
      <w:pPr>
        <w:pStyle w:val="Paragraph"/>
        <w:numPr>
          <w:ilvl w:val="0"/>
          <w:numId w:val="36"/>
        </w:numPr>
        <w:ind w:left="432" w:hanging="432"/>
      </w:pPr>
      <w:r w:rsidRPr="00D71833">
        <w:t>Y. Ansari, S. Yasmin, S. Naz, H. Zaffar, Z. Ali, J. Moon, and S. Rho, “A Deep Reinforcement Learning-Based Decision Support System for Automated Stock Market Trading,” IEEE Access 10, 127469–127501 (2022).</w:t>
      </w:r>
    </w:p>
    <w:p w14:paraId="611043C5" w14:textId="77777777" w:rsidR="00D71833" w:rsidRPr="00D71833" w:rsidRDefault="00D71833" w:rsidP="00D71833">
      <w:pPr>
        <w:pStyle w:val="ListParagraph"/>
        <w:numPr>
          <w:ilvl w:val="0"/>
          <w:numId w:val="36"/>
        </w:numPr>
        <w:autoSpaceDE w:val="0"/>
        <w:autoSpaceDN w:val="0"/>
        <w:ind w:left="432" w:hanging="432"/>
        <w:jc w:val="both"/>
        <w:rPr>
          <w:sz w:val="20"/>
        </w:rPr>
      </w:pPr>
      <w:proofErr w:type="spellStart"/>
      <w:r w:rsidRPr="00D71833">
        <w:rPr>
          <w:sz w:val="20"/>
        </w:rPr>
        <w:t>Théate</w:t>
      </w:r>
      <w:proofErr w:type="spellEnd"/>
      <w:r w:rsidRPr="00D71833">
        <w:rPr>
          <w:sz w:val="20"/>
        </w:rPr>
        <w:t>, T., &amp; Ernst, D. (2021). An application of deep reinforcement learning to algorithmic trading. </w:t>
      </w:r>
      <w:r w:rsidRPr="00D71833">
        <w:rPr>
          <w:i/>
          <w:iCs/>
          <w:sz w:val="20"/>
        </w:rPr>
        <w:t>Expert systems with applications</w:t>
      </w:r>
      <w:r w:rsidRPr="00D71833">
        <w:rPr>
          <w:sz w:val="20"/>
        </w:rPr>
        <w:t>, </w:t>
      </w:r>
      <w:r w:rsidRPr="00D71833">
        <w:rPr>
          <w:i/>
          <w:iCs/>
          <w:sz w:val="20"/>
        </w:rPr>
        <w:t>173</w:t>
      </w:r>
      <w:r w:rsidRPr="00D71833">
        <w:rPr>
          <w:sz w:val="20"/>
        </w:rPr>
        <w:t xml:space="preserve">, 114632. </w:t>
      </w:r>
    </w:p>
    <w:p w14:paraId="3B929187" w14:textId="77777777" w:rsidR="007D0205" w:rsidRDefault="007D0205" w:rsidP="009B3AD5">
      <w:pPr>
        <w:pStyle w:val="Paragraph"/>
        <w:ind w:left="432" w:hanging="432"/>
      </w:pPr>
    </w:p>
    <w:sectPr w:rsidR="007D0205"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40482" w14:textId="77777777" w:rsidR="001430CC" w:rsidRDefault="001430CC" w:rsidP="000D5A2F">
      <w:r>
        <w:separator/>
      </w:r>
    </w:p>
  </w:endnote>
  <w:endnote w:type="continuationSeparator" w:id="0">
    <w:p w14:paraId="2DCBE35E" w14:textId="77777777" w:rsidR="001430CC" w:rsidRDefault="001430CC" w:rsidP="000D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0762A" w14:textId="77777777" w:rsidR="001430CC" w:rsidRDefault="001430CC" w:rsidP="000D5A2F">
      <w:r>
        <w:separator/>
      </w:r>
    </w:p>
  </w:footnote>
  <w:footnote w:type="continuationSeparator" w:id="0">
    <w:p w14:paraId="55D1C6D9" w14:textId="77777777" w:rsidR="001430CC" w:rsidRDefault="001430CC" w:rsidP="000D5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F00F7"/>
    <w:multiLevelType w:val="hybridMultilevel"/>
    <w:tmpl w:val="54CC7F6E"/>
    <w:lvl w:ilvl="0" w:tplc="EA9C0EF6">
      <w:numFmt w:val="bullet"/>
      <w:lvlText w:val="•"/>
      <w:lvlJc w:val="left"/>
      <w:pPr>
        <w:ind w:left="1080" w:hanging="360"/>
      </w:pPr>
      <w:rPr>
        <w:rFonts w:ascii="Times New Roman" w:eastAsia="Times New Roman"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93BCA"/>
    <w:multiLevelType w:val="hybridMultilevel"/>
    <w:tmpl w:val="6E46D482"/>
    <w:lvl w:ilvl="0" w:tplc="44090015">
      <w:start w:val="1"/>
      <w:numFmt w:val="upp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 w15:restartNumberingAfterBreak="0">
    <w:nsid w:val="15A62763"/>
    <w:multiLevelType w:val="hybridMultilevel"/>
    <w:tmpl w:val="40F0B714"/>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8BD479E"/>
    <w:multiLevelType w:val="hybridMultilevel"/>
    <w:tmpl w:val="5F5A6920"/>
    <w:lvl w:ilvl="0" w:tplc="EA9C0EF6">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A5C642E"/>
    <w:multiLevelType w:val="hybridMultilevel"/>
    <w:tmpl w:val="12B02E32"/>
    <w:lvl w:ilvl="0" w:tplc="EA9C0EF6">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9" w15:restartNumberingAfterBreak="0">
    <w:nsid w:val="29264288"/>
    <w:multiLevelType w:val="hybridMultilevel"/>
    <w:tmpl w:val="38F8CB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E8B4517"/>
    <w:multiLevelType w:val="hybridMultilevel"/>
    <w:tmpl w:val="83DADF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0CD711E"/>
    <w:multiLevelType w:val="hybridMultilevel"/>
    <w:tmpl w:val="A382217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E92D00"/>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420325"/>
    <w:multiLevelType w:val="hybridMultilevel"/>
    <w:tmpl w:val="B87C18DE"/>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4395702E"/>
    <w:multiLevelType w:val="hybridMultilevel"/>
    <w:tmpl w:val="AA9A80D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52D62697"/>
    <w:multiLevelType w:val="hybridMultilevel"/>
    <w:tmpl w:val="9746E4CC"/>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B93A69"/>
    <w:multiLevelType w:val="hybridMultilevel"/>
    <w:tmpl w:val="0D64137C"/>
    <w:lvl w:ilvl="0" w:tplc="EA9C0EF6">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29C469C"/>
    <w:multiLevelType w:val="multilevel"/>
    <w:tmpl w:val="4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5C33938"/>
    <w:multiLevelType w:val="hybridMultilevel"/>
    <w:tmpl w:val="9CE450C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0390522">
    <w:abstractNumId w:val="10"/>
  </w:num>
  <w:num w:numId="2" w16cid:durableId="1555266813">
    <w:abstractNumId w:val="17"/>
  </w:num>
  <w:num w:numId="3" w16cid:durableId="1057435670">
    <w:abstractNumId w:val="14"/>
  </w:num>
  <w:num w:numId="4" w16cid:durableId="1718774588">
    <w:abstractNumId w:val="27"/>
    <w:lvlOverride w:ilvl="0">
      <w:startOverride w:val="1"/>
    </w:lvlOverride>
  </w:num>
  <w:num w:numId="5" w16cid:durableId="1988975014">
    <w:abstractNumId w:val="27"/>
    <w:lvlOverride w:ilvl="0">
      <w:startOverride w:val="1"/>
    </w:lvlOverride>
  </w:num>
  <w:num w:numId="6" w16cid:durableId="662052845">
    <w:abstractNumId w:val="27"/>
  </w:num>
  <w:num w:numId="7" w16cid:durableId="1309238626">
    <w:abstractNumId w:val="5"/>
  </w:num>
  <w:num w:numId="8" w16cid:durableId="1443111767">
    <w:abstractNumId w:val="0"/>
  </w:num>
  <w:num w:numId="9" w16cid:durableId="435637505">
    <w:abstractNumId w:val="4"/>
  </w:num>
  <w:num w:numId="10" w16cid:durableId="721757401">
    <w:abstractNumId w:val="30"/>
  </w:num>
  <w:num w:numId="11" w16cid:durableId="66388329">
    <w:abstractNumId w:val="8"/>
  </w:num>
  <w:num w:numId="12" w16cid:durableId="1542204004">
    <w:abstractNumId w:val="16"/>
  </w:num>
  <w:num w:numId="13" w16cid:durableId="1580283662">
    <w:abstractNumId w:val="26"/>
  </w:num>
  <w:num w:numId="14" w16cid:durableId="1295067360">
    <w:abstractNumId w:val="15"/>
  </w:num>
  <w:num w:numId="15" w16cid:durableId="1349409301">
    <w:abstractNumId w:val="2"/>
  </w:num>
  <w:num w:numId="16" w16cid:durableId="1429698816">
    <w:abstractNumId w:val="29"/>
  </w:num>
  <w:num w:numId="17" w16cid:durableId="1924532916">
    <w:abstractNumId w:val="18"/>
  </w:num>
  <w:num w:numId="18" w16cid:durableId="1003706383">
    <w:abstractNumId w:val="28"/>
  </w:num>
  <w:num w:numId="19" w16cid:durableId="668406088">
    <w:abstractNumId w:val="22"/>
  </w:num>
  <w:num w:numId="20" w16cid:durableId="867524263">
    <w:abstractNumId w:val="26"/>
    <w:lvlOverride w:ilvl="0">
      <w:startOverride w:val="1"/>
    </w:lvlOverride>
  </w:num>
  <w:num w:numId="21" w16cid:durableId="121198583">
    <w:abstractNumId w:val="26"/>
    <w:lvlOverride w:ilvl="0">
      <w:startOverride w:val="1"/>
    </w:lvlOverride>
  </w:num>
  <w:num w:numId="22" w16cid:durableId="343478508">
    <w:abstractNumId w:val="26"/>
    <w:lvlOverride w:ilvl="0">
      <w:startOverride w:val="1"/>
    </w:lvlOverride>
  </w:num>
  <w:num w:numId="23" w16cid:durableId="779951564">
    <w:abstractNumId w:val="27"/>
    <w:lvlOverride w:ilvl="0">
      <w:startOverride w:val="1"/>
    </w:lvlOverride>
  </w:num>
  <w:num w:numId="24" w16cid:durableId="1055618297">
    <w:abstractNumId w:val="21"/>
  </w:num>
  <w:num w:numId="25" w16cid:durableId="523249588">
    <w:abstractNumId w:val="19"/>
  </w:num>
  <w:num w:numId="26" w16cid:durableId="1053847972">
    <w:abstractNumId w:val="11"/>
  </w:num>
  <w:num w:numId="27" w16cid:durableId="906763327">
    <w:abstractNumId w:val="20"/>
  </w:num>
  <w:num w:numId="28" w16cid:durableId="356975710">
    <w:abstractNumId w:val="9"/>
  </w:num>
  <w:num w:numId="29" w16cid:durableId="1128626671">
    <w:abstractNumId w:val="12"/>
  </w:num>
  <w:num w:numId="30" w16cid:durableId="201284326">
    <w:abstractNumId w:val="6"/>
  </w:num>
  <w:num w:numId="31" w16cid:durableId="769617413">
    <w:abstractNumId w:val="1"/>
  </w:num>
  <w:num w:numId="32" w16cid:durableId="1263732298">
    <w:abstractNumId w:val="23"/>
  </w:num>
  <w:num w:numId="33" w16cid:durableId="363601875">
    <w:abstractNumId w:val="7"/>
  </w:num>
  <w:num w:numId="34" w16cid:durableId="1855529126">
    <w:abstractNumId w:val="3"/>
  </w:num>
  <w:num w:numId="35" w16cid:durableId="636496639">
    <w:abstractNumId w:val="24"/>
  </w:num>
  <w:num w:numId="36" w16cid:durableId="831022689">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13B"/>
    <w:rsid w:val="00003D7C"/>
    <w:rsid w:val="00014140"/>
    <w:rsid w:val="00014450"/>
    <w:rsid w:val="0001524D"/>
    <w:rsid w:val="0001643E"/>
    <w:rsid w:val="00020B8C"/>
    <w:rsid w:val="00023082"/>
    <w:rsid w:val="000230FC"/>
    <w:rsid w:val="000256AC"/>
    <w:rsid w:val="00027428"/>
    <w:rsid w:val="00031EC9"/>
    <w:rsid w:val="0003200A"/>
    <w:rsid w:val="0003254F"/>
    <w:rsid w:val="00037349"/>
    <w:rsid w:val="00040CA9"/>
    <w:rsid w:val="00045A65"/>
    <w:rsid w:val="00045BFE"/>
    <w:rsid w:val="00047C9E"/>
    <w:rsid w:val="00052A8B"/>
    <w:rsid w:val="000537A5"/>
    <w:rsid w:val="000547DC"/>
    <w:rsid w:val="0005609A"/>
    <w:rsid w:val="0005699D"/>
    <w:rsid w:val="0006301E"/>
    <w:rsid w:val="00066FED"/>
    <w:rsid w:val="00073423"/>
    <w:rsid w:val="0007450C"/>
    <w:rsid w:val="000751BA"/>
    <w:rsid w:val="00075EA6"/>
    <w:rsid w:val="00076BC3"/>
    <w:rsid w:val="00076BF4"/>
    <w:rsid w:val="0007709F"/>
    <w:rsid w:val="00080B34"/>
    <w:rsid w:val="00082A56"/>
    <w:rsid w:val="0008456E"/>
    <w:rsid w:val="00085272"/>
    <w:rsid w:val="0008530D"/>
    <w:rsid w:val="00086F62"/>
    <w:rsid w:val="000877AC"/>
    <w:rsid w:val="000877E2"/>
    <w:rsid w:val="00087A76"/>
    <w:rsid w:val="00090674"/>
    <w:rsid w:val="00091390"/>
    <w:rsid w:val="00091C37"/>
    <w:rsid w:val="0009320B"/>
    <w:rsid w:val="00096AE0"/>
    <w:rsid w:val="000A04D8"/>
    <w:rsid w:val="000A0D97"/>
    <w:rsid w:val="000A0F9E"/>
    <w:rsid w:val="000A301A"/>
    <w:rsid w:val="000A7DF0"/>
    <w:rsid w:val="000B03D0"/>
    <w:rsid w:val="000B12DB"/>
    <w:rsid w:val="000B18BD"/>
    <w:rsid w:val="000B1B74"/>
    <w:rsid w:val="000B2198"/>
    <w:rsid w:val="000B3A2D"/>
    <w:rsid w:val="000B49C0"/>
    <w:rsid w:val="000B7C7D"/>
    <w:rsid w:val="000C0D9D"/>
    <w:rsid w:val="000C0F49"/>
    <w:rsid w:val="000C11B8"/>
    <w:rsid w:val="000C1642"/>
    <w:rsid w:val="000C3A26"/>
    <w:rsid w:val="000C3D65"/>
    <w:rsid w:val="000C4062"/>
    <w:rsid w:val="000C7852"/>
    <w:rsid w:val="000D1098"/>
    <w:rsid w:val="000D151A"/>
    <w:rsid w:val="000D1646"/>
    <w:rsid w:val="000D29B2"/>
    <w:rsid w:val="000D2B70"/>
    <w:rsid w:val="000D44AB"/>
    <w:rsid w:val="000D5271"/>
    <w:rsid w:val="000D5896"/>
    <w:rsid w:val="000D5A2F"/>
    <w:rsid w:val="000D7925"/>
    <w:rsid w:val="000E35D1"/>
    <w:rsid w:val="000E382F"/>
    <w:rsid w:val="000E4738"/>
    <w:rsid w:val="000E5387"/>
    <w:rsid w:val="000E59B4"/>
    <w:rsid w:val="000E627E"/>
    <w:rsid w:val="000E68F8"/>
    <w:rsid w:val="000E75CD"/>
    <w:rsid w:val="000F17D1"/>
    <w:rsid w:val="000F2F12"/>
    <w:rsid w:val="000F4AF6"/>
    <w:rsid w:val="000F556D"/>
    <w:rsid w:val="000F73E8"/>
    <w:rsid w:val="0010194D"/>
    <w:rsid w:val="00102B4F"/>
    <w:rsid w:val="001036BA"/>
    <w:rsid w:val="001146DC"/>
    <w:rsid w:val="00114AB1"/>
    <w:rsid w:val="00114D45"/>
    <w:rsid w:val="00115CC4"/>
    <w:rsid w:val="00115E8C"/>
    <w:rsid w:val="0011760F"/>
    <w:rsid w:val="001230FF"/>
    <w:rsid w:val="00123D20"/>
    <w:rsid w:val="00125F42"/>
    <w:rsid w:val="001274AB"/>
    <w:rsid w:val="00130BD7"/>
    <w:rsid w:val="00131399"/>
    <w:rsid w:val="00131C21"/>
    <w:rsid w:val="001328C7"/>
    <w:rsid w:val="001335DC"/>
    <w:rsid w:val="00134454"/>
    <w:rsid w:val="00137302"/>
    <w:rsid w:val="00142901"/>
    <w:rsid w:val="001430CC"/>
    <w:rsid w:val="00145B23"/>
    <w:rsid w:val="00145F8A"/>
    <w:rsid w:val="00146534"/>
    <w:rsid w:val="001519E4"/>
    <w:rsid w:val="00152996"/>
    <w:rsid w:val="00154890"/>
    <w:rsid w:val="00155446"/>
    <w:rsid w:val="00155B67"/>
    <w:rsid w:val="001562AF"/>
    <w:rsid w:val="001564F8"/>
    <w:rsid w:val="00157A91"/>
    <w:rsid w:val="00157CBB"/>
    <w:rsid w:val="00161A5B"/>
    <w:rsid w:val="0016385D"/>
    <w:rsid w:val="0016782F"/>
    <w:rsid w:val="00167849"/>
    <w:rsid w:val="00170C87"/>
    <w:rsid w:val="001718E3"/>
    <w:rsid w:val="00171E4C"/>
    <w:rsid w:val="00172DB7"/>
    <w:rsid w:val="00174FA0"/>
    <w:rsid w:val="001767F5"/>
    <w:rsid w:val="001772CD"/>
    <w:rsid w:val="00180C9C"/>
    <w:rsid w:val="001845CF"/>
    <w:rsid w:val="00184C24"/>
    <w:rsid w:val="00190F29"/>
    <w:rsid w:val="00192B1B"/>
    <w:rsid w:val="00193498"/>
    <w:rsid w:val="001937E9"/>
    <w:rsid w:val="001964E5"/>
    <w:rsid w:val="00196783"/>
    <w:rsid w:val="0019723F"/>
    <w:rsid w:val="001A0627"/>
    <w:rsid w:val="001A129C"/>
    <w:rsid w:val="001A1566"/>
    <w:rsid w:val="001A2110"/>
    <w:rsid w:val="001A2892"/>
    <w:rsid w:val="001A40C3"/>
    <w:rsid w:val="001A4926"/>
    <w:rsid w:val="001A6E82"/>
    <w:rsid w:val="001B1D50"/>
    <w:rsid w:val="001B263B"/>
    <w:rsid w:val="001B476A"/>
    <w:rsid w:val="001B5683"/>
    <w:rsid w:val="001C00CF"/>
    <w:rsid w:val="001C01A8"/>
    <w:rsid w:val="001C0903"/>
    <w:rsid w:val="001C1E22"/>
    <w:rsid w:val="001C4AB6"/>
    <w:rsid w:val="001C764F"/>
    <w:rsid w:val="001C7BB3"/>
    <w:rsid w:val="001D07FF"/>
    <w:rsid w:val="001D2FA5"/>
    <w:rsid w:val="001D4047"/>
    <w:rsid w:val="001D469C"/>
    <w:rsid w:val="001D6F30"/>
    <w:rsid w:val="001D7098"/>
    <w:rsid w:val="001E0374"/>
    <w:rsid w:val="001E1E1C"/>
    <w:rsid w:val="001E3726"/>
    <w:rsid w:val="001E5BA6"/>
    <w:rsid w:val="001F0F12"/>
    <w:rsid w:val="001F153B"/>
    <w:rsid w:val="001F4B9C"/>
    <w:rsid w:val="002078A2"/>
    <w:rsid w:val="00210E99"/>
    <w:rsid w:val="00212F7F"/>
    <w:rsid w:val="0021619E"/>
    <w:rsid w:val="00217AC4"/>
    <w:rsid w:val="002209C4"/>
    <w:rsid w:val="00222B20"/>
    <w:rsid w:val="002240B2"/>
    <w:rsid w:val="0022547F"/>
    <w:rsid w:val="0023171B"/>
    <w:rsid w:val="00234E65"/>
    <w:rsid w:val="00235126"/>
    <w:rsid w:val="00236BFC"/>
    <w:rsid w:val="00237437"/>
    <w:rsid w:val="002404B2"/>
    <w:rsid w:val="002413CB"/>
    <w:rsid w:val="0024237B"/>
    <w:rsid w:val="002427F5"/>
    <w:rsid w:val="00244FAE"/>
    <w:rsid w:val="002465A4"/>
    <w:rsid w:val="002502FD"/>
    <w:rsid w:val="002521FF"/>
    <w:rsid w:val="002524C9"/>
    <w:rsid w:val="00255DCA"/>
    <w:rsid w:val="00257431"/>
    <w:rsid w:val="0026164F"/>
    <w:rsid w:val="0026635E"/>
    <w:rsid w:val="00267504"/>
    <w:rsid w:val="002675F2"/>
    <w:rsid w:val="00270112"/>
    <w:rsid w:val="00270562"/>
    <w:rsid w:val="00271C74"/>
    <w:rsid w:val="00271CF0"/>
    <w:rsid w:val="00271DAF"/>
    <w:rsid w:val="0027277E"/>
    <w:rsid w:val="00272DB9"/>
    <w:rsid w:val="00274622"/>
    <w:rsid w:val="002818E9"/>
    <w:rsid w:val="00285D24"/>
    <w:rsid w:val="0028622E"/>
    <w:rsid w:val="002862F8"/>
    <w:rsid w:val="002876C3"/>
    <w:rsid w:val="00290390"/>
    <w:rsid w:val="002915D3"/>
    <w:rsid w:val="002924DB"/>
    <w:rsid w:val="00293B2F"/>
    <w:rsid w:val="002941DA"/>
    <w:rsid w:val="00294358"/>
    <w:rsid w:val="0029651E"/>
    <w:rsid w:val="002973C8"/>
    <w:rsid w:val="00297E94"/>
    <w:rsid w:val="002A0A55"/>
    <w:rsid w:val="002A2C19"/>
    <w:rsid w:val="002A79C1"/>
    <w:rsid w:val="002B1125"/>
    <w:rsid w:val="002B5648"/>
    <w:rsid w:val="002B6454"/>
    <w:rsid w:val="002C28DA"/>
    <w:rsid w:val="002C50B6"/>
    <w:rsid w:val="002C696B"/>
    <w:rsid w:val="002D0F48"/>
    <w:rsid w:val="002D1387"/>
    <w:rsid w:val="002D32F5"/>
    <w:rsid w:val="002D52A2"/>
    <w:rsid w:val="002E16A1"/>
    <w:rsid w:val="002E3C35"/>
    <w:rsid w:val="002F4B70"/>
    <w:rsid w:val="002F5298"/>
    <w:rsid w:val="002F57C9"/>
    <w:rsid w:val="002F5C31"/>
    <w:rsid w:val="002F5C5A"/>
    <w:rsid w:val="00303015"/>
    <w:rsid w:val="003060AD"/>
    <w:rsid w:val="00315562"/>
    <w:rsid w:val="00315F92"/>
    <w:rsid w:val="00326AE0"/>
    <w:rsid w:val="0033003C"/>
    <w:rsid w:val="00330442"/>
    <w:rsid w:val="00332560"/>
    <w:rsid w:val="00333706"/>
    <w:rsid w:val="00333B28"/>
    <w:rsid w:val="00335646"/>
    <w:rsid w:val="00337E4F"/>
    <w:rsid w:val="003400EC"/>
    <w:rsid w:val="00340C36"/>
    <w:rsid w:val="0034138E"/>
    <w:rsid w:val="003426C7"/>
    <w:rsid w:val="00343CCB"/>
    <w:rsid w:val="00344491"/>
    <w:rsid w:val="00346A9D"/>
    <w:rsid w:val="003502C2"/>
    <w:rsid w:val="00353243"/>
    <w:rsid w:val="00353B28"/>
    <w:rsid w:val="003644E6"/>
    <w:rsid w:val="0036794E"/>
    <w:rsid w:val="00371E3F"/>
    <w:rsid w:val="00371E4B"/>
    <w:rsid w:val="003728DB"/>
    <w:rsid w:val="0037567B"/>
    <w:rsid w:val="00375A9F"/>
    <w:rsid w:val="0037674E"/>
    <w:rsid w:val="00376B50"/>
    <w:rsid w:val="00377E56"/>
    <w:rsid w:val="00381A73"/>
    <w:rsid w:val="00381B1C"/>
    <w:rsid w:val="00381D14"/>
    <w:rsid w:val="0038701F"/>
    <w:rsid w:val="003875CD"/>
    <w:rsid w:val="00387CFB"/>
    <w:rsid w:val="00391C42"/>
    <w:rsid w:val="0039376F"/>
    <w:rsid w:val="00393C84"/>
    <w:rsid w:val="00396122"/>
    <w:rsid w:val="003A287B"/>
    <w:rsid w:val="003A4274"/>
    <w:rsid w:val="003A5A62"/>
    <w:rsid w:val="003A5C85"/>
    <w:rsid w:val="003A61B1"/>
    <w:rsid w:val="003A7FE6"/>
    <w:rsid w:val="003B0050"/>
    <w:rsid w:val="003B061E"/>
    <w:rsid w:val="003B3CEF"/>
    <w:rsid w:val="003B469E"/>
    <w:rsid w:val="003B5AAA"/>
    <w:rsid w:val="003B5DE5"/>
    <w:rsid w:val="003B67AD"/>
    <w:rsid w:val="003B68EC"/>
    <w:rsid w:val="003C1364"/>
    <w:rsid w:val="003C4D33"/>
    <w:rsid w:val="003C4F24"/>
    <w:rsid w:val="003D5A92"/>
    <w:rsid w:val="003D6312"/>
    <w:rsid w:val="003D7174"/>
    <w:rsid w:val="003E0FC8"/>
    <w:rsid w:val="003E144B"/>
    <w:rsid w:val="003E1BE2"/>
    <w:rsid w:val="003E20FD"/>
    <w:rsid w:val="003E35EE"/>
    <w:rsid w:val="003E7C74"/>
    <w:rsid w:val="003F1C98"/>
    <w:rsid w:val="003F31C6"/>
    <w:rsid w:val="003F390C"/>
    <w:rsid w:val="0040225B"/>
    <w:rsid w:val="00402347"/>
    <w:rsid w:val="00402DA2"/>
    <w:rsid w:val="00403005"/>
    <w:rsid w:val="004043E3"/>
    <w:rsid w:val="00405AB4"/>
    <w:rsid w:val="00410B76"/>
    <w:rsid w:val="00412B10"/>
    <w:rsid w:val="00412B63"/>
    <w:rsid w:val="00414F5D"/>
    <w:rsid w:val="004162E3"/>
    <w:rsid w:val="004166EE"/>
    <w:rsid w:val="00417347"/>
    <w:rsid w:val="00417D6A"/>
    <w:rsid w:val="00417E1E"/>
    <w:rsid w:val="00420436"/>
    <w:rsid w:val="0042445E"/>
    <w:rsid w:val="00424C87"/>
    <w:rsid w:val="00425AC2"/>
    <w:rsid w:val="00426234"/>
    <w:rsid w:val="00427556"/>
    <w:rsid w:val="00427682"/>
    <w:rsid w:val="004278D5"/>
    <w:rsid w:val="00427A91"/>
    <w:rsid w:val="00433647"/>
    <w:rsid w:val="0043672D"/>
    <w:rsid w:val="004376B5"/>
    <w:rsid w:val="00441270"/>
    <w:rsid w:val="004454F1"/>
    <w:rsid w:val="0044771F"/>
    <w:rsid w:val="00451824"/>
    <w:rsid w:val="004628EB"/>
    <w:rsid w:val="00463CBF"/>
    <w:rsid w:val="00464C88"/>
    <w:rsid w:val="004658FE"/>
    <w:rsid w:val="00470A6F"/>
    <w:rsid w:val="004713E4"/>
    <w:rsid w:val="0047246B"/>
    <w:rsid w:val="004725D9"/>
    <w:rsid w:val="00481CFE"/>
    <w:rsid w:val="00483D8E"/>
    <w:rsid w:val="004840B9"/>
    <w:rsid w:val="00493EB0"/>
    <w:rsid w:val="004975A6"/>
    <w:rsid w:val="00497B39"/>
    <w:rsid w:val="00497F15"/>
    <w:rsid w:val="004A07A8"/>
    <w:rsid w:val="004A26FA"/>
    <w:rsid w:val="004A3675"/>
    <w:rsid w:val="004A3AA3"/>
    <w:rsid w:val="004B0697"/>
    <w:rsid w:val="004B151D"/>
    <w:rsid w:val="004B4C68"/>
    <w:rsid w:val="004B5F98"/>
    <w:rsid w:val="004B6552"/>
    <w:rsid w:val="004C110F"/>
    <w:rsid w:val="004C6DF4"/>
    <w:rsid w:val="004C7243"/>
    <w:rsid w:val="004D13A3"/>
    <w:rsid w:val="004D7D05"/>
    <w:rsid w:val="004E21DE"/>
    <w:rsid w:val="004E2224"/>
    <w:rsid w:val="004E3C57"/>
    <w:rsid w:val="004E3CB2"/>
    <w:rsid w:val="004F19AB"/>
    <w:rsid w:val="004F321D"/>
    <w:rsid w:val="004F421D"/>
    <w:rsid w:val="004F4F21"/>
    <w:rsid w:val="004F5946"/>
    <w:rsid w:val="004F736C"/>
    <w:rsid w:val="005036F4"/>
    <w:rsid w:val="005039E5"/>
    <w:rsid w:val="005110B0"/>
    <w:rsid w:val="005122C0"/>
    <w:rsid w:val="00516DB2"/>
    <w:rsid w:val="005217DB"/>
    <w:rsid w:val="00521FDB"/>
    <w:rsid w:val="00524997"/>
    <w:rsid w:val="00524FB7"/>
    <w:rsid w:val="00525813"/>
    <w:rsid w:val="00525EA8"/>
    <w:rsid w:val="005277A8"/>
    <w:rsid w:val="005306A4"/>
    <w:rsid w:val="00530A2C"/>
    <w:rsid w:val="0053375A"/>
    <w:rsid w:val="00533766"/>
    <w:rsid w:val="0053513F"/>
    <w:rsid w:val="0053619A"/>
    <w:rsid w:val="005364AB"/>
    <w:rsid w:val="005366F6"/>
    <w:rsid w:val="00540F70"/>
    <w:rsid w:val="0054146B"/>
    <w:rsid w:val="00544F8B"/>
    <w:rsid w:val="00545479"/>
    <w:rsid w:val="00545BC0"/>
    <w:rsid w:val="00553AA9"/>
    <w:rsid w:val="00553FC3"/>
    <w:rsid w:val="00554DEB"/>
    <w:rsid w:val="00556E0D"/>
    <w:rsid w:val="005574F0"/>
    <w:rsid w:val="00557A00"/>
    <w:rsid w:val="00560F43"/>
    <w:rsid w:val="00561B62"/>
    <w:rsid w:val="00562F00"/>
    <w:rsid w:val="00563859"/>
    <w:rsid w:val="00564491"/>
    <w:rsid w:val="0057400E"/>
    <w:rsid w:val="00574405"/>
    <w:rsid w:val="00576685"/>
    <w:rsid w:val="005810F1"/>
    <w:rsid w:val="005854B0"/>
    <w:rsid w:val="00586D0E"/>
    <w:rsid w:val="005874C1"/>
    <w:rsid w:val="00587F4D"/>
    <w:rsid w:val="00592318"/>
    <w:rsid w:val="00592FD6"/>
    <w:rsid w:val="0059401F"/>
    <w:rsid w:val="00596536"/>
    <w:rsid w:val="005A0759"/>
    <w:rsid w:val="005A0E21"/>
    <w:rsid w:val="005A2EC4"/>
    <w:rsid w:val="005A3463"/>
    <w:rsid w:val="005A4064"/>
    <w:rsid w:val="005A498D"/>
    <w:rsid w:val="005A5FB6"/>
    <w:rsid w:val="005A6208"/>
    <w:rsid w:val="005A7C3B"/>
    <w:rsid w:val="005B3A34"/>
    <w:rsid w:val="005B43C0"/>
    <w:rsid w:val="005B4BAB"/>
    <w:rsid w:val="005B6287"/>
    <w:rsid w:val="005C0E7B"/>
    <w:rsid w:val="005C1B8D"/>
    <w:rsid w:val="005C5750"/>
    <w:rsid w:val="005D0CFD"/>
    <w:rsid w:val="005D432D"/>
    <w:rsid w:val="005D49AF"/>
    <w:rsid w:val="005D6D1B"/>
    <w:rsid w:val="005E14F0"/>
    <w:rsid w:val="005E1568"/>
    <w:rsid w:val="005E2F59"/>
    <w:rsid w:val="005E38EA"/>
    <w:rsid w:val="005E415C"/>
    <w:rsid w:val="005E4237"/>
    <w:rsid w:val="005E4F06"/>
    <w:rsid w:val="005E71ED"/>
    <w:rsid w:val="005E7946"/>
    <w:rsid w:val="005F2D84"/>
    <w:rsid w:val="005F44E7"/>
    <w:rsid w:val="005F5618"/>
    <w:rsid w:val="005F5F2D"/>
    <w:rsid w:val="005F6089"/>
    <w:rsid w:val="005F6449"/>
    <w:rsid w:val="005F66A0"/>
    <w:rsid w:val="005F7475"/>
    <w:rsid w:val="00603FFE"/>
    <w:rsid w:val="00604D58"/>
    <w:rsid w:val="00605197"/>
    <w:rsid w:val="00611299"/>
    <w:rsid w:val="00613AB0"/>
    <w:rsid w:val="00613B4D"/>
    <w:rsid w:val="00616365"/>
    <w:rsid w:val="00616F3B"/>
    <w:rsid w:val="00623125"/>
    <w:rsid w:val="0062323E"/>
    <w:rsid w:val="006232B1"/>
    <w:rsid w:val="006249A7"/>
    <w:rsid w:val="006271C3"/>
    <w:rsid w:val="006279F0"/>
    <w:rsid w:val="00633668"/>
    <w:rsid w:val="00634F4F"/>
    <w:rsid w:val="0063522C"/>
    <w:rsid w:val="006378EA"/>
    <w:rsid w:val="0064225B"/>
    <w:rsid w:val="00642A7F"/>
    <w:rsid w:val="00642BCF"/>
    <w:rsid w:val="006445CE"/>
    <w:rsid w:val="0064563B"/>
    <w:rsid w:val="006520CB"/>
    <w:rsid w:val="00656CDB"/>
    <w:rsid w:val="00660285"/>
    <w:rsid w:val="00660366"/>
    <w:rsid w:val="0066066B"/>
    <w:rsid w:val="00666059"/>
    <w:rsid w:val="00666323"/>
    <w:rsid w:val="00673E93"/>
    <w:rsid w:val="00674C25"/>
    <w:rsid w:val="006763F9"/>
    <w:rsid w:val="00677AE1"/>
    <w:rsid w:val="00677DED"/>
    <w:rsid w:val="006802A8"/>
    <w:rsid w:val="00685EF8"/>
    <w:rsid w:val="0068617E"/>
    <w:rsid w:val="00687F5A"/>
    <w:rsid w:val="006903E0"/>
    <w:rsid w:val="006927EE"/>
    <w:rsid w:val="006949BC"/>
    <w:rsid w:val="00694E79"/>
    <w:rsid w:val="006A333D"/>
    <w:rsid w:val="006B09AE"/>
    <w:rsid w:val="006B2D9E"/>
    <w:rsid w:val="006B4DD3"/>
    <w:rsid w:val="006B6A99"/>
    <w:rsid w:val="006B6C12"/>
    <w:rsid w:val="006B6F2F"/>
    <w:rsid w:val="006C0220"/>
    <w:rsid w:val="006C36EE"/>
    <w:rsid w:val="006C381D"/>
    <w:rsid w:val="006C4E97"/>
    <w:rsid w:val="006C6076"/>
    <w:rsid w:val="006C7055"/>
    <w:rsid w:val="006C7BEB"/>
    <w:rsid w:val="006C7FC1"/>
    <w:rsid w:val="006D0512"/>
    <w:rsid w:val="006D1229"/>
    <w:rsid w:val="006D1DD0"/>
    <w:rsid w:val="006D1F0B"/>
    <w:rsid w:val="006D372F"/>
    <w:rsid w:val="006D56F0"/>
    <w:rsid w:val="006D65BD"/>
    <w:rsid w:val="006D7A18"/>
    <w:rsid w:val="006D7B56"/>
    <w:rsid w:val="006D7CE1"/>
    <w:rsid w:val="006E0F7F"/>
    <w:rsid w:val="006E1E54"/>
    <w:rsid w:val="006E4474"/>
    <w:rsid w:val="006E4A6D"/>
    <w:rsid w:val="006F3175"/>
    <w:rsid w:val="006F3CC1"/>
    <w:rsid w:val="006F421F"/>
    <w:rsid w:val="006F472B"/>
    <w:rsid w:val="006F4812"/>
    <w:rsid w:val="006F5E22"/>
    <w:rsid w:val="006F7BBD"/>
    <w:rsid w:val="006F7D91"/>
    <w:rsid w:val="00701388"/>
    <w:rsid w:val="0070198F"/>
    <w:rsid w:val="007019BC"/>
    <w:rsid w:val="00713096"/>
    <w:rsid w:val="00715944"/>
    <w:rsid w:val="0071714F"/>
    <w:rsid w:val="00717C7E"/>
    <w:rsid w:val="0072206C"/>
    <w:rsid w:val="00722CC6"/>
    <w:rsid w:val="00722CD0"/>
    <w:rsid w:val="007237B5"/>
    <w:rsid w:val="007238D7"/>
    <w:rsid w:val="00723B7F"/>
    <w:rsid w:val="00725861"/>
    <w:rsid w:val="00725B0F"/>
    <w:rsid w:val="0073393A"/>
    <w:rsid w:val="0073539D"/>
    <w:rsid w:val="00736EDA"/>
    <w:rsid w:val="00742C44"/>
    <w:rsid w:val="00746FDA"/>
    <w:rsid w:val="00747E80"/>
    <w:rsid w:val="0075018A"/>
    <w:rsid w:val="00750309"/>
    <w:rsid w:val="007532AE"/>
    <w:rsid w:val="00754EE6"/>
    <w:rsid w:val="00755CEB"/>
    <w:rsid w:val="00757741"/>
    <w:rsid w:val="00760AF6"/>
    <w:rsid w:val="00763C1A"/>
    <w:rsid w:val="00764F07"/>
    <w:rsid w:val="00765E02"/>
    <w:rsid w:val="00766D8C"/>
    <w:rsid w:val="00767B8A"/>
    <w:rsid w:val="0077336E"/>
    <w:rsid w:val="007739B0"/>
    <w:rsid w:val="00775481"/>
    <w:rsid w:val="00776768"/>
    <w:rsid w:val="00776F98"/>
    <w:rsid w:val="0077746A"/>
    <w:rsid w:val="0077750F"/>
    <w:rsid w:val="00780DDC"/>
    <w:rsid w:val="00784EC2"/>
    <w:rsid w:val="00786913"/>
    <w:rsid w:val="00790227"/>
    <w:rsid w:val="00794D9E"/>
    <w:rsid w:val="007960AD"/>
    <w:rsid w:val="007A233B"/>
    <w:rsid w:val="007A2E3A"/>
    <w:rsid w:val="007A31B5"/>
    <w:rsid w:val="007A4499"/>
    <w:rsid w:val="007A46EF"/>
    <w:rsid w:val="007A66E8"/>
    <w:rsid w:val="007B2FD4"/>
    <w:rsid w:val="007B4863"/>
    <w:rsid w:val="007B65F9"/>
    <w:rsid w:val="007B6798"/>
    <w:rsid w:val="007B76F7"/>
    <w:rsid w:val="007C1335"/>
    <w:rsid w:val="007C2017"/>
    <w:rsid w:val="007C387B"/>
    <w:rsid w:val="007C3D29"/>
    <w:rsid w:val="007C6049"/>
    <w:rsid w:val="007C6181"/>
    <w:rsid w:val="007C65E6"/>
    <w:rsid w:val="007C6FF6"/>
    <w:rsid w:val="007C72DE"/>
    <w:rsid w:val="007D0205"/>
    <w:rsid w:val="007D1A49"/>
    <w:rsid w:val="007D2E18"/>
    <w:rsid w:val="007D406B"/>
    <w:rsid w:val="007D4407"/>
    <w:rsid w:val="007E1CA3"/>
    <w:rsid w:val="007E3713"/>
    <w:rsid w:val="007E65D3"/>
    <w:rsid w:val="007F015E"/>
    <w:rsid w:val="007F0175"/>
    <w:rsid w:val="00802C19"/>
    <w:rsid w:val="00803F31"/>
    <w:rsid w:val="00804BFD"/>
    <w:rsid w:val="00812D62"/>
    <w:rsid w:val="00812F29"/>
    <w:rsid w:val="00820335"/>
    <w:rsid w:val="00820E7F"/>
    <w:rsid w:val="00821713"/>
    <w:rsid w:val="00822DC8"/>
    <w:rsid w:val="0082558B"/>
    <w:rsid w:val="00827050"/>
    <w:rsid w:val="0082706F"/>
    <w:rsid w:val="00831095"/>
    <w:rsid w:val="00831E9C"/>
    <w:rsid w:val="0083278B"/>
    <w:rsid w:val="00834538"/>
    <w:rsid w:val="00835A83"/>
    <w:rsid w:val="00836B29"/>
    <w:rsid w:val="00841270"/>
    <w:rsid w:val="00843825"/>
    <w:rsid w:val="008459B7"/>
    <w:rsid w:val="008501E4"/>
    <w:rsid w:val="00850D4B"/>
    <w:rsid w:val="00850E89"/>
    <w:rsid w:val="00851CC2"/>
    <w:rsid w:val="00856996"/>
    <w:rsid w:val="0085765A"/>
    <w:rsid w:val="00857B70"/>
    <w:rsid w:val="00862D9F"/>
    <w:rsid w:val="00863BFC"/>
    <w:rsid w:val="00871B04"/>
    <w:rsid w:val="00875253"/>
    <w:rsid w:val="00883313"/>
    <w:rsid w:val="00886495"/>
    <w:rsid w:val="008866BE"/>
    <w:rsid w:val="00890DED"/>
    <w:rsid w:val="008919B8"/>
    <w:rsid w:val="00892BB9"/>
    <w:rsid w:val="008930E4"/>
    <w:rsid w:val="00893821"/>
    <w:rsid w:val="00895418"/>
    <w:rsid w:val="008A3617"/>
    <w:rsid w:val="008A6CF3"/>
    <w:rsid w:val="008A7B9C"/>
    <w:rsid w:val="008B1098"/>
    <w:rsid w:val="008B2932"/>
    <w:rsid w:val="008B39FA"/>
    <w:rsid w:val="008B4294"/>
    <w:rsid w:val="008B4754"/>
    <w:rsid w:val="008B518A"/>
    <w:rsid w:val="008B5C19"/>
    <w:rsid w:val="008B5CAF"/>
    <w:rsid w:val="008B612D"/>
    <w:rsid w:val="008B7368"/>
    <w:rsid w:val="008C0937"/>
    <w:rsid w:val="008C0A79"/>
    <w:rsid w:val="008C24A9"/>
    <w:rsid w:val="008C5F08"/>
    <w:rsid w:val="008D03E9"/>
    <w:rsid w:val="008D5AFA"/>
    <w:rsid w:val="008E15CD"/>
    <w:rsid w:val="008E21CD"/>
    <w:rsid w:val="008E504A"/>
    <w:rsid w:val="008E6A7A"/>
    <w:rsid w:val="008F1038"/>
    <w:rsid w:val="008F5D80"/>
    <w:rsid w:val="008F7046"/>
    <w:rsid w:val="009000A5"/>
    <w:rsid w:val="009005FC"/>
    <w:rsid w:val="00911C06"/>
    <w:rsid w:val="00912FE0"/>
    <w:rsid w:val="00915463"/>
    <w:rsid w:val="0092168A"/>
    <w:rsid w:val="00922E5A"/>
    <w:rsid w:val="009235AD"/>
    <w:rsid w:val="00924294"/>
    <w:rsid w:val="0092503F"/>
    <w:rsid w:val="00933A3F"/>
    <w:rsid w:val="00933B91"/>
    <w:rsid w:val="009348F8"/>
    <w:rsid w:val="009372C4"/>
    <w:rsid w:val="009373D0"/>
    <w:rsid w:val="00940E9B"/>
    <w:rsid w:val="00943315"/>
    <w:rsid w:val="0094565C"/>
    <w:rsid w:val="00946303"/>
    <w:rsid w:val="009468F7"/>
    <w:rsid w:val="00946C27"/>
    <w:rsid w:val="00947B65"/>
    <w:rsid w:val="009543DD"/>
    <w:rsid w:val="00954A7F"/>
    <w:rsid w:val="0095514D"/>
    <w:rsid w:val="0096352A"/>
    <w:rsid w:val="00967DA1"/>
    <w:rsid w:val="00971691"/>
    <w:rsid w:val="00971E9C"/>
    <w:rsid w:val="00976613"/>
    <w:rsid w:val="00982A5E"/>
    <w:rsid w:val="009856E7"/>
    <w:rsid w:val="0098591F"/>
    <w:rsid w:val="00991C60"/>
    <w:rsid w:val="009946C4"/>
    <w:rsid w:val="00996692"/>
    <w:rsid w:val="00996A37"/>
    <w:rsid w:val="009973E5"/>
    <w:rsid w:val="009A39A5"/>
    <w:rsid w:val="009A4F3D"/>
    <w:rsid w:val="009A5E3B"/>
    <w:rsid w:val="009A7D17"/>
    <w:rsid w:val="009B1471"/>
    <w:rsid w:val="009B227D"/>
    <w:rsid w:val="009B23BD"/>
    <w:rsid w:val="009B3AD5"/>
    <w:rsid w:val="009B3E7E"/>
    <w:rsid w:val="009B612D"/>
    <w:rsid w:val="009B696B"/>
    <w:rsid w:val="009B7671"/>
    <w:rsid w:val="009C2ACA"/>
    <w:rsid w:val="009D2881"/>
    <w:rsid w:val="009D5D65"/>
    <w:rsid w:val="009D60B0"/>
    <w:rsid w:val="009D7B35"/>
    <w:rsid w:val="009E14CC"/>
    <w:rsid w:val="009E5BA1"/>
    <w:rsid w:val="009E5F75"/>
    <w:rsid w:val="009F056E"/>
    <w:rsid w:val="009F257D"/>
    <w:rsid w:val="009F3FD4"/>
    <w:rsid w:val="009F6137"/>
    <w:rsid w:val="009F664D"/>
    <w:rsid w:val="009F67B0"/>
    <w:rsid w:val="00A04769"/>
    <w:rsid w:val="00A069BB"/>
    <w:rsid w:val="00A07529"/>
    <w:rsid w:val="00A07731"/>
    <w:rsid w:val="00A07875"/>
    <w:rsid w:val="00A11A40"/>
    <w:rsid w:val="00A1223A"/>
    <w:rsid w:val="00A13678"/>
    <w:rsid w:val="00A1396E"/>
    <w:rsid w:val="00A14869"/>
    <w:rsid w:val="00A15154"/>
    <w:rsid w:val="00A154BF"/>
    <w:rsid w:val="00A21CA2"/>
    <w:rsid w:val="00A22BE4"/>
    <w:rsid w:val="00A2413F"/>
    <w:rsid w:val="00A24699"/>
    <w:rsid w:val="00A24F3D"/>
    <w:rsid w:val="00A26DCD"/>
    <w:rsid w:val="00A30C00"/>
    <w:rsid w:val="00A314BB"/>
    <w:rsid w:val="00A316DE"/>
    <w:rsid w:val="00A32B7D"/>
    <w:rsid w:val="00A34330"/>
    <w:rsid w:val="00A3525F"/>
    <w:rsid w:val="00A404D2"/>
    <w:rsid w:val="00A41F43"/>
    <w:rsid w:val="00A43BB8"/>
    <w:rsid w:val="00A451CC"/>
    <w:rsid w:val="00A514A4"/>
    <w:rsid w:val="00A52454"/>
    <w:rsid w:val="00A5400E"/>
    <w:rsid w:val="00A5596B"/>
    <w:rsid w:val="00A565AC"/>
    <w:rsid w:val="00A63F08"/>
    <w:rsid w:val="00A646B3"/>
    <w:rsid w:val="00A665AB"/>
    <w:rsid w:val="00A6739B"/>
    <w:rsid w:val="00A67E59"/>
    <w:rsid w:val="00A70E95"/>
    <w:rsid w:val="00A72CB7"/>
    <w:rsid w:val="00A72FF2"/>
    <w:rsid w:val="00A74AE7"/>
    <w:rsid w:val="00A76FDF"/>
    <w:rsid w:val="00A80A7D"/>
    <w:rsid w:val="00A8141C"/>
    <w:rsid w:val="00A86578"/>
    <w:rsid w:val="00A90413"/>
    <w:rsid w:val="00A93228"/>
    <w:rsid w:val="00AA46EB"/>
    <w:rsid w:val="00AA728C"/>
    <w:rsid w:val="00AA7953"/>
    <w:rsid w:val="00AB0536"/>
    <w:rsid w:val="00AB0A9C"/>
    <w:rsid w:val="00AB22C1"/>
    <w:rsid w:val="00AB526B"/>
    <w:rsid w:val="00AB57EB"/>
    <w:rsid w:val="00AB7119"/>
    <w:rsid w:val="00AB719D"/>
    <w:rsid w:val="00AB74A2"/>
    <w:rsid w:val="00AB79CF"/>
    <w:rsid w:val="00AC1741"/>
    <w:rsid w:val="00AC7792"/>
    <w:rsid w:val="00AC7FBD"/>
    <w:rsid w:val="00AD041D"/>
    <w:rsid w:val="00AD4BBF"/>
    <w:rsid w:val="00AD5216"/>
    <w:rsid w:val="00AD5855"/>
    <w:rsid w:val="00AD58E8"/>
    <w:rsid w:val="00AD5B2C"/>
    <w:rsid w:val="00AD67FF"/>
    <w:rsid w:val="00AE4CAA"/>
    <w:rsid w:val="00AE7500"/>
    <w:rsid w:val="00AE7F87"/>
    <w:rsid w:val="00AF1A78"/>
    <w:rsid w:val="00AF3542"/>
    <w:rsid w:val="00AF3B62"/>
    <w:rsid w:val="00AF4EF7"/>
    <w:rsid w:val="00AF5ABE"/>
    <w:rsid w:val="00B00415"/>
    <w:rsid w:val="00B01D8E"/>
    <w:rsid w:val="00B0241F"/>
    <w:rsid w:val="00B02516"/>
    <w:rsid w:val="00B03C2A"/>
    <w:rsid w:val="00B04003"/>
    <w:rsid w:val="00B04387"/>
    <w:rsid w:val="00B06D56"/>
    <w:rsid w:val="00B07B94"/>
    <w:rsid w:val="00B1000D"/>
    <w:rsid w:val="00B10134"/>
    <w:rsid w:val="00B16BFE"/>
    <w:rsid w:val="00B22393"/>
    <w:rsid w:val="00B224D6"/>
    <w:rsid w:val="00B31691"/>
    <w:rsid w:val="00B35034"/>
    <w:rsid w:val="00B36084"/>
    <w:rsid w:val="00B40FDB"/>
    <w:rsid w:val="00B41706"/>
    <w:rsid w:val="00B427FA"/>
    <w:rsid w:val="00B4342B"/>
    <w:rsid w:val="00B47538"/>
    <w:rsid w:val="00B4760B"/>
    <w:rsid w:val="00B476B7"/>
    <w:rsid w:val="00B47C98"/>
    <w:rsid w:val="00B47FE4"/>
    <w:rsid w:val="00B500E5"/>
    <w:rsid w:val="00B52206"/>
    <w:rsid w:val="00B525BF"/>
    <w:rsid w:val="00B55060"/>
    <w:rsid w:val="00B560EF"/>
    <w:rsid w:val="00B57E61"/>
    <w:rsid w:val="00B60E67"/>
    <w:rsid w:val="00B6137D"/>
    <w:rsid w:val="00B64BC6"/>
    <w:rsid w:val="00B6545C"/>
    <w:rsid w:val="00B70B85"/>
    <w:rsid w:val="00B71187"/>
    <w:rsid w:val="00B71385"/>
    <w:rsid w:val="00B717A7"/>
    <w:rsid w:val="00B71952"/>
    <w:rsid w:val="00B73454"/>
    <w:rsid w:val="00B73564"/>
    <w:rsid w:val="00B820A5"/>
    <w:rsid w:val="00B866A1"/>
    <w:rsid w:val="00B86D2B"/>
    <w:rsid w:val="00B90E54"/>
    <w:rsid w:val="00B9182D"/>
    <w:rsid w:val="00B91A8A"/>
    <w:rsid w:val="00B93C80"/>
    <w:rsid w:val="00B95778"/>
    <w:rsid w:val="00B97D31"/>
    <w:rsid w:val="00B97DE6"/>
    <w:rsid w:val="00B97F94"/>
    <w:rsid w:val="00BA39BB"/>
    <w:rsid w:val="00BA3B3D"/>
    <w:rsid w:val="00BA63E7"/>
    <w:rsid w:val="00BB1713"/>
    <w:rsid w:val="00BB1C62"/>
    <w:rsid w:val="00BB25A0"/>
    <w:rsid w:val="00BB3583"/>
    <w:rsid w:val="00BB7EEA"/>
    <w:rsid w:val="00BC4A51"/>
    <w:rsid w:val="00BC7BF1"/>
    <w:rsid w:val="00BD025A"/>
    <w:rsid w:val="00BD1909"/>
    <w:rsid w:val="00BE11FD"/>
    <w:rsid w:val="00BE345A"/>
    <w:rsid w:val="00BE460C"/>
    <w:rsid w:val="00BE5E16"/>
    <w:rsid w:val="00BE5FD1"/>
    <w:rsid w:val="00BE7B1E"/>
    <w:rsid w:val="00BF086E"/>
    <w:rsid w:val="00BF1C55"/>
    <w:rsid w:val="00BF1E56"/>
    <w:rsid w:val="00BF344E"/>
    <w:rsid w:val="00BF479E"/>
    <w:rsid w:val="00BF65C8"/>
    <w:rsid w:val="00BF704C"/>
    <w:rsid w:val="00BF7B3C"/>
    <w:rsid w:val="00C0266B"/>
    <w:rsid w:val="00C02ECA"/>
    <w:rsid w:val="00C06E05"/>
    <w:rsid w:val="00C10EC8"/>
    <w:rsid w:val="00C11D86"/>
    <w:rsid w:val="00C120A7"/>
    <w:rsid w:val="00C14B14"/>
    <w:rsid w:val="00C17370"/>
    <w:rsid w:val="00C200DA"/>
    <w:rsid w:val="00C2054D"/>
    <w:rsid w:val="00C2156F"/>
    <w:rsid w:val="00C24B9A"/>
    <w:rsid w:val="00C24D71"/>
    <w:rsid w:val="00C252EB"/>
    <w:rsid w:val="00C253EC"/>
    <w:rsid w:val="00C26EC0"/>
    <w:rsid w:val="00C279CA"/>
    <w:rsid w:val="00C312A5"/>
    <w:rsid w:val="00C32559"/>
    <w:rsid w:val="00C3562B"/>
    <w:rsid w:val="00C3654F"/>
    <w:rsid w:val="00C4082F"/>
    <w:rsid w:val="00C41ED1"/>
    <w:rsid w:val="00C50FE1"/>
    <w:rsid w:val="00C5259D"/>
    <w:rsid w:val="00C546F0"/>
    <w:rsid w:val="00C54C79"/>
    <w:rsid w:val="00C56C77"/>
    <w:rsid w:val="00C57837"/>
    <w:rsid w:val="00C6020F"/>
    <w:rsid w:val="00C6291E"/>
    <w:rsid w:val="00C64BA6"/>
    <w:rsid w:val="00C72792"/>
    <w:rsid w:val="00C8461A"/>
    <w:rsid w:val="00C84923"/>
    <w:rsid w:val="00C84A7F"/>
    <w:rsid w:val="00C87BEB"/>
    <w:rsid w:val="00C9123F"/>
    <w:rsid w:val="00C9159D"/>
    <w:rsid w:val="00C91663"/>
    <w:rsid w:val="00C916D4"/>
    <w:rsid w:val="00C91BA4"/>
    <w:rsid w:val="00C92AA9"/>
    <w:rsid w:val="00C94DB3"/>
    <w:rsid w:val="00CA247A"/>
    <w:rsid w:val="00CA484C"/>
    <w:rsid w:val="00CA5D17"/>
    <w:rsid w:val="00CB2079"/>
    <w:rsid w:val="00CB395C"/>
    <w:rsid w:val="00CB4F4F"/>
    <w:rsid w:val="00CB620B"/>
    <w:rsid w:val="00CB67E7"/>
    <w:rsid w:val="00CB79C4"/>
    <w:rsid w:val="00CB7B3E"/>
    <w:rsid w:val="00CC0F9A"/>
    <w:rsid w:val="00CC1D8F"/>
    <w:rsid w:val="00CC2BDA"/>
    <w:rsid w:val="00CC5037"/>
    <w:rsid w:val="00CC57B7"/>
    <w:rsid w:val="00CC739D"/>
    <w:rsid w:val="00CD06FD"/>
    <w:rsid w:val="00CD2FE6"/>
    <w:rsid w:val="00CD4303"/>
    <w:rsid w:val="00CD436F"/>
    <w:rsid w:val="00CD4869"/>
    <w:rsid w:val="00CE3732"/>
    <w:rsid w:val="00CE4C2A"/>
    <w:rsid w:val="00CE4D88"/>
    <w:rsid w:val="00CF2962"/>
    <w:rsid w:val="00CF330C"/>
    <w:rsid w:val="00CF6899"/>
    <w:rsid w:val="00D0049B"/>
    <w:rsid w:val="00D01417"/>
    <w:rsid w:val="00D0184B"/>
    <w:rsid w:val="00D034B2"/>
    <w:rsid w:val="00D04468"/>
    <w:rsid w:val="00D04BC8"/>
    <w:rsid w:val="00D130C1"/>
    <w:rsid w:val="00D131D9"/>
    <w:rsid w:val="00D14BA2"/>
    <w:rsid w:val="00D1745D"/>
    <w:rsid w:val="00D226B7"/>
    <w:rsid w:val="00D23A7C"/>
    <w:rsid w:val="00D26718"/>
    <w:rsid w:val="00D26B53"/>
    <w:rsid w:val="00D30640"/>
    <w:rsid w:val="00D346B2"/>
    <w:rsid w:val="00D34E4F"/>
    <w:rsid w:val="00D36174"/>
    <w:rsid w:val="00D36257"/>
    <w:rsid w:val="00D41DDF"/>
    <w:rsid w:val="00D45E95"/>
    <w:rsid w:val="00D4687E"/>
    <w:rsid w:val="00D47211"/>
    <w:rsid w:val="00D4749B"/>
    <w:rsid w:val="00D47926"/>
    <w:rsid w:val="00D50B3B"/>
    <w:rsid w:val="00D5142F"/>
    <w:rsid w:val="00D52AAF"/>
    <w:rsid w:val="00D531AA"/>
    <w:rsid w:val="00D5383B"/>
    <w:rsid w:val="00D53A12"/>
    <w:rsid w:val="00D55CF9"/>
    <w:rsid w:val="00D56759"/>
    <w:rsid w:val="00D61A01"/>
    <w:rsid w:val="00D64788"/>
    <w:rsid w:val="00D656D6"/>
    <w:rsid w:val="00D70769"/>
    <w:rsid w:val="00D71833"/>
    <w:rsid w:val="00D8418C"/>
    <w:rsid w:val="00D84D76"/>
    <w:rsid w:val="00D853B2"/>
    <w:rsid w:val="00D85A03"/>
    <w:rsid w:val="00D87E2A"/>
    <w:rsid w:val="00D9087F"/>
    <w:rsid w:val="00D92EAB"/>
    <w:rsid w:val="00DA060F"/>
    <w:rsid w:val="00DA1AE2"/>
    <w:rsid w:val="00DA2379"/>
    <w:rsid w:val="00DA309D"/>
    <w:rsid w:val="00DA368F"/>
    <w:rsid w:val="00DA3B84"/>
    <w:rsid w:val="00DA53F6"/>
    <w:rsid w:val="00DA7F7B"/>
    <w:rsid w:val="00DB0C43"/>
    <w:rsid w:val="00DB7306"/>
    <w:rsid w:val="00DC1B24"/>
    <w:rsid w:val="00DC5869"/>
    <w:rsid w:val="00DC58F3"/>
    <w:rsid w:val="00DC5B7E"/>
    <w:rsid w:val="00DC6925"/>
    <w:rsid w:val="00DC71EE"/>
    <w:rsid w:val="00DD2A2E"/>
    <w:rsid w:val="00DD52F5"/>
    <w:rsid w:val="00DD623B"/>
    <w:rsid w:val="00DE0983"/>
    <w:rsid w:val="00DE298E"/>
    <w:rsid w:val="00DE3354"/>
    <w:rsid w:val="00DE3660"/>
    <w:rsid w:val="00DE3A78"/>
    <w:rsid w:val="00DE5945"/>
    <w:rsid w:val="00DE72E3"/>
    <w:rsid w:val="00DE7BC3"/>
    <w:rsid w:val="00DF0071"/>
    <w:rsid w:val="00DF0216"/>
    <w:rsid w:val="00DF2802"/>
    <w:rsid w:val="00DF4239"/>
    <w:rsid w:val="00DF549C"/>
    <w:rsid w:val="00DF5D17"/>
    <w:rsid w:val="00DF6EC9"/>
    <w:rsid w:val="00DF7DCD"/>
    <w:rsid w:val="00E056A7"/>
    <w:rsid w:val="00E107B8"/>
    <w:rsid w:val="00E12627"/>
    <w:rsid w:val="00E13F0B"/>
    <w:rsid w:val="00E14250"/>
    <w:rsid w:val="00E170C6"/>
    <w:rsid w:val="00E1789F"/>
    <w:rsid w:val="00E201AA"/>
    <w:rsid w:val="00E24842"/>
    <w:rsid w:val="00E34294"/>
    <w:rsid w:val="00E36BD5"/>
    <w:rsid w:val="00E42C5C"/>
    <w:rsid w:val="00E46929"/>
    <w:rsid w:val="00E50B7D"/>
    <w:rsid w:val="00E54C07"/>
    <w:rsid w:val="00E56F39"/>
    <w:rsid w:val="00E5790D"/>
    <w:rsid w:val="00E60A0B"/>
    <w:rsid w:val="00E633DB"/>
    <w:rsid w:val="00E6340A"/>
    <w:rsid w:val="00E634CD"/>
    <w:rsid w:val="00E71C8A"/>
    <w:rsid w:val="00E72363"/>
    <w:rsid w:val="00E73100"/>
    <w:rsid w:val="00E73FAF"/>
    <w:rsid w:val="00E7555D"/>
    <w:rsid w:val="00E763BB"/>
    <w:rsid w:val="00E76C21"/>
    <w:rsid w:val="00E772E8"/>
    <w:rsid w:val="00E80148"/>
    <w:rsid w:val="00E80B20"/>
    <w:rsid w:val="00E826D6"/>
    <w:rsid w:val="00E82901"/>
    <w:rsid w:val="00E83E9A"/>
    <w:rsid w:val="00E85BBA"/>
    <w:rsid w:val="00E879EA"/>
    <w:rsid w:val="00E904A1"/>
    <w:rsid w:val="00E910F1"/>
    <w:rsid w:val="00E93246"/>
    <w:rsid w:val="00E9567C"/>
    <w:rsid w:val="00E957E9"/>
    <w:rsid w:val="00E95C51"/>
    <w:rsid w:val="00EA268C"/>
    <w:rsid w:val="00EA3470"/>
    <w:rsid w:val="00EA50DD"/>
    <w:rsid w:val="00EB09F2"/>
    <w:rsid w:val="00EB375B"/>
    <w:rsid w:val="00EB3F27"/>
    <w:rsid w:val="00EB7D28"/>
    <w:rsid w:val="00EC0D0C"/>
    <w:rsid w:val="00EC0F41"/>
    <w:rsid w:val="00EC1494"/>
    <w:rsid w:val="00EC4418"/>
    <w:rsid w:val="00EC47A6"/>
    <w:rsid w:val="00EC57CE"/>
    <w:rsid w:val="00EC699E"/>
    <w:rsid w:val="00ED3B40"/>
    <w:rsid w:val="00ED4A2C"/>
    <w:rsid w:val="00ED5598"/>
    <w:rsid w:val="00EE004D"/>
    <w:rsid w:val="00EE023E"/>
    <w:rsid w:val="00EE0937"/>
    <w:rsid w:val="00EE0C2E"/>
    <w:rsid w:val="00EE1CC6"/>
    <w:rsid w:val="00EE1FDB"/>
    <w:rsid w:val="00EE5005"/>
    <w:rsid w:val="00EF13F3"/>
    <w:rsid w:val="00EF454D"/>
    <w:rsid w:val="00EF6940"/>
    <w:rsid w:val="00F0001C"/>
    <w:rsid w:val="00F000E3"/>
    <w:rsid w:val="00F10155"/>
    <w:rsid w:val="00F106D2"/>
    <w:rsid w:val="00F1282D"/>
    <w:rsid w:val="00F12F05"/>
    <w:rsid w:val="00F153B7"/>
    <w:rsid w:val="00F2044A"/>
    <w:rsid w:val="00F20BFC"/>
    <w:rsid w:val="00F249EB"/>
    <w:rsid w:val="00F24D5F"/>
    <w:rsid w:val="00F2778E"/>
    <w:rsid w:val="00F27CD4"/>
    <w:rsid w:val="00F27E5A"/>
    <w:rsid w:val="00F3107F"/>
    <w:rsid w:val="00F3385F"/>
    <w:rsid w:val="00F4168B"/>
    <w:rsid w:val="00F41C66"/>
    <w:rsid w:val="00F4259F"/>
    <w:rsid w:val="00F427CF"/>
    <w:rsid w:val="00F4344F"/>
    <w:rsid w:val="00F4412D"/>
    <w:rsid w:val="00F50515"/>
    <w:rsid w:val="00F51562"/>
    <w:rsid w:val="00F51C1B"/>
    <w:rsid w:val="00F533BB"/>
    <w:rsid w:val="00F538F3"/>
    <w:rsid w:val="00F60EED"/>
    <w:rsid w:val="00F6431D"/>
    <w:rsid w:val="00F678FD"/>
    <w:rsid w:val="00F70074"/>
    <w:rsid w:val="00F726C3"/>
    <w:rsid w:val="00F7576B"/>
    <w:rsid w:val="00F80E57"/>
    <w:rsid w:val="00F820CA"/>
    <w:rsid w:val="00F8554C"/>
    <w:rsid w:val="00F85892"/>
    <w:rsid w:val="00F8728F"/>
    <w:rsid w:val="00F87835"/>
    <w:rsid w:val="00F92AC0"/>
    <w:rsid w:val="00F93598"/>
    <w:rsid w:val="00F9394E"/>
    <w:rsid w:val="00F95F82"/>
    <w:rsid w:val="00F97A90"/>
    <w:rsid w:val="00F97FE6"/>
    <w:rsid w:val="00FA48B5"/>
    <w:rsid w:val="00FA6403"/>
    <w:rsid w:val="00FA7384"/>
    <w:rsid w:val="00FA7DE7"/>
    <w:rsid w:val="00FB41E1"/>
    <w:rsid w:val="00FB5B90"/>
    <w:rsid w:val="00FB718D"/>
    <w:rsid w:val="00FC04BB"/>
    <w:rsid w:val="00FC099F"/>
    <w:rsid w:val="00FC14C5"/>
    <w:rsid w:val="00FC1DFD"/>
    <w:rsid w:val="00FC2A7F"/>
    <w:rsid w:val="00FC2F35"/>
    <w:rsid w:val="00FC30F8"/>
    <w:rsid w:val="00FC3FD7"/>
    <w:rsid w:val="00FC435F"/>
    <w:rsid w:val="00FC4ACF"/>
    <w:rsid w:val="00FC77A1"/>
    <w:rsid w:val="00FD1FC6"/>
    <w:rsid w:val="00FD5EE5"/>
    <w:rsid w:val="00FD6CFF"/>
    <w:rsid w:val="00FE1561"/>
    <w:rsid w:val="00FE1B53"/>
    <w:rsid w:val="00FE249A"/>
    <w:rsid w:val="00FE31B0"/>
    <w:rsid w:val="00FE5869"/>
    <w:rsid w:val="00FF09B7"/>
    <w:rsid w:val="00FF134E"/>
    <w:rsid w:val="00FF17E0"/>
    <w:rsid w:val="00FF1827"/>
    <w:rsid w:val="00FF1B97"/>
    <w:rsid w:val="00FF2A44"/>
    <w:rsid w:val="00FF3222"/>
    <w:rsid w:val="02FEC0A2"/>
    <w:rsid w:val="03965A88"/>
    <w:rsid w:val="03E17948"/>
    <w:rsid w:val="04E7C688"/>
    <w:rsid w:val="05093028"/>
    <w:rsid w:val="05151806"/>
    <w:rsid w:val="0520CAAE"/>
    <w:rsid w:val="062DB0F8"/>
    <w:rsid w:val="07D02C15"/>
    <w:rsid w:val="089A2FBF"/>
    <w:rsid w:val="08BA01BF"/>
    <w:rsid w:val="08E2C92B"/>
    <w:rsid w:val="0A02E80A"/>
    <w:rsid w:val="0A5B1F35"/>
    <w:rsid w:val="0A631018"/>
    <w:rsid w:val="0B1E8874"/>
    <w:rsid w:val="0B6C4006"/>
    <w:rsid w:val="0BCDE818"/>
    <w:rsid w:val="0BEF5C45"/>
    <w:rsid w:val="0C12DADF"/>
    <w:rsid w:val="0C3F7394"/>
    <w:rsid w:val="0C77A332"/>
    <w:rsid w:val="0CBE170F"/>
    <w:rsid w:val="0D8303B6"/>
    <w:rsid w:val="0DFF6594"/>
    <w:rsid w:val="0E0901DE"/>
    <w:rsid w:val="0ECEE36D"/>
    <w:rsid w:val="0F7117EA"/>
    <w:rsid w:val="1112F959"/>
    <w:rsid w:val="11415A78"/>
    <w:rsid w:val="11B8B3F0"/>
    <w:rsid w:val="123A71C9"/>
    <w:rsid w:val="126AEC65"/>
    <w:rsid w:val="12807042"/>
    <w:rsid w:val="1360B15C"/>
    <w:rsid w:val="14208E34"/>
    <w:rsid w:val="1433B383"/>
    <w:rsid w:val="14A56740"/>
    <w:rsid w:val="14ACE2D8"/>
    <w:rsid w:val="15300C6B"/>
    <w:rsid w:val="15340499"/>
    <w:rsid w:val="15A7E47C"/>
    <w:rsid w:val="16150C15"/>
    <w:rsid w:val="168725F1"/>
    <w:rsid w:val="1752063F"/>
    <w:rsid w:val="177C7BF9"/>
    <w:rsid w:val="1950076D"/>
    <w:rsid w:val="19659161"/>
    <w:rsid w:val="19D7E4A1"/>
    <w:rsid w:val="1A7283B1"/>
    <w:rsid w:val="1A731D91"/>
    <w:rsid w:val="1AB870D8"/>
    <w:rsid w:val="1B972DA3"/>
    <w:rsid w:val="1C1FC8F7"/>
    <w:rsid w:val="1C42B598"/>
    <w:rsid w:val="1C91E4F9"/>
    <w:rsid w:val="1DCD0476"/>
    <w:rsid w:val="1DE88405"/>
    <w:rsid w:val="1ECD131A"/>
    <w:rsid w:val="1F2FC5A1"/>
    <w:rsid w:val="1F3D1E53"/>
    <w:rsid w:val="1FA7B707"/>
    <w:rsid w:val="20E9E607"/>
    <w:rsid w:val="214A73DF"/>
    <w:rsid w:val="216D7E03"/>
    <w:rsid w:val="219A798B"/>
    <w:rsid w:val="21BBCEB2"/>
    <w:rsid w:val="21E6B447"/>
    <w:rsid w:val="21FBC8B9"/>
    <w:rsid w:val="22257E58"/>
    <w:rsid w:val="2316C11F"/>
    <w:rsid w:val="23BD70D9"/>
    <w:rsid w:val="23C1B7EE"/>
    <w:rsid w:val="246C99C9"/>
    <w:rsid w:val="26037753"/>
    <w:rsid w:val="26E25794"/>
    <w:rsid w:val="274E40D5"/>
    <w:rsid w:val="275803D4"/>
    <w:rsid w:val="279226C8"/>
    <w:rsid w:val="27A2E469"/>
    <w:rsid w:val="282CFF6B"/>
    <w:rsid w:val="291190CE"/>
    <w:rsid w:val="298D89B0"/>
    <w:rsid w:val="2A06DBB3"/>
    <w:rsid w:val="2B109934"/>
    <w:rsid w:val="2B121133"/>
    <w:rsid w:val="2B6050DA"/>
    <w:rsid w:val="2B6FD7FF"/>
    <w:rsid w:val="2C7BBEDD"/>
    <w:rsid w:val="2D1EB2BC"/>
    <w:rsid w:val="2D1FCA79"/>
    <w:rsid w:val="2EECE011"/>
    <w:rsid w:val="2F07A70D"/>
    <w:rsid w:val="2F197E65"/>
    <w:rsid w:val="2F830975"/>
    <w:rsid w:val="308C98DE"/>
    <w:rsid w:val="30D2D87C"/>
    <w:rsid w:val="320DB14C"/>
    <w:rsid w:val="33C04B3D"/>
    <w:rsid w:val="341BA7AE"/>
    <w:rsid w:val="3451EECD"/>
    <w:rsid w:val="353C573F"/>
    <w:rsid w:val="36616B00"/>
    <w:rsid w:val="3781B8C6"/>
    <w:rsid w:val="38BB7EBD"/>
    <w:rsid w:val="3A1A1298"/>
    <w:rsid w:val="3A5F9A46"/>
    <w:rsid w:val="3A63A907"/>
    <w:rsid w:val="3A93DD1B"/>
    <w:rsid w:val="3AD45864"/>
    <w:rsid w:val="3AF9E067"/>
    <w:rsid w:val="3B8F5615"/>
    <w:rsid w:val="3BFC2BF1"/>
    <w:rsid w:val="3D80D873"/>
    <w:rsid w:val="3EFD8AD5"/>
    <w:rsid w:val="3F0E8FAA"/>
    <w:rsid w:val="3F26628A"/>
    <w:rsid w:val="3FA97D12"/>
    <w:rsid w:val="40995217"/>
    <w:rsid w:val="40BD687A"/>
    <w:rsid w:val="42831510"/>
    <w:rsid w:val="430D4844"/>
    <w:rsid w:val="44429F0C"/>
    <w:rsid w:val="44E273BB"/>
    <w:rsid w:val="4505C452"/>
    <w:rsid w:val="457E0C36"/>
    <w:rsid w:val="45CD09BC"/>
    <w:rsid w:val="46963846"/>
    <w:rsid w:val="46AB6357"/>
    <w:rsid w:val="46AECC16"/>
    <w:rsid w:val="4704C148"/>
    <w:rsid w:val="48CF9169"/>
    <w:rsid w:val="48D6D99A"/>
    <w:rsid w:val="48EA4815"/>
    <w:rsid w:val="496F9A8C"/>
    <w:rsid w:val="499AD09B"/>
    <w:rsid w:val="4A35ADAE"/>
    <w:rsid w:val="4A947332"/>
    <w:rsid w:val="4A9FEF8C"/>
    <w:rsid w:val="4C46B42B"/>
    <w:rsid w:val="4CEC4552"/>
    <w:rsid w:val="4CF8E7B0"/>
    <w:rsid w:val="4DCD3A95"/>
    <w:rsid w:val="4F505DD8"/>
    <w:rsid w:val="4FF489B8"/>
    <w:rsid w:val="500E26EA"/>
    <w:rsid w:val="50474807"/>
    <w:rsid w:val="517372FE"/>
    <w:rsid w:val="5211B5D5"/>
    <w:rsid w:val="5346FD66"/>
    <w:rsid w:val="5386713F"/>
    <w:rsid w:val="56B4C640"/>
    <w:rsid w:val="59268297"/>
    <w:rsid w:val="593313C8"/>
    <w:rsid w:val="597AF069"/>
    <w:rsid w:val="5A2361D0"/>
    <w:rsid w:val="5A831BA0"/>
    <w:rsid w:val="5AB9972E"/>
    <w:rsid w:val="5B1D6DB9"/>
    <w:rsid w:val="5B3CC56D"/>
    <w:rsid w:val="5BFB6CC8"/>
    <w:rsid w:val="5D2B3EF2"/>
    <w:rsid w:val="5DB56792"/>
    <w:rsid w:val="5EBDC525"/>
    <w:rsid w:val="5ECA923E"/>
    <w:rsid w:val="5F002ED9"/>
    <w:rsid w:val="5F4C6C27"/>
    <w:rsid w:val="5FB1B0A6"/>
    <w:rsid w:val="60283C74"/>
    <w:rsid w:val="61180DED"/>
    <w:rsid w:val="612E072A"/>
    <w:rsid w:val="6170E4BE"/>
    <w:rsid w:val="657157C2"/>
    <w:rsid w:val="672F9230"/>
    <w:rsid w:val="67BB8476"/>
    <w:rsid w:val="67DFA16B"/>
    <w:rsid w:val="689BF9E9"/>
    <w:rsid w:val="69846DCF"/>
    <w:rsid w:val="6A2D1169"/>
    <w:rsid w:val="6A566A98"/>
    <w:rsid w:val="6A5D185B"/>
    <w:rsid w:val="6A8FA1CE"/>
    <w:rsid w:val="6B22543B"/>
    <w:rsid w:val="6C0363BE"/>
    <w:rsid w:val="6C22385A"/>
    <w:rsid w:val="6CD2D294"/>
    <w:rsid w:val="6CD968F4"/>
    <w:rsid w:val="6D2FDC04"/>
    <w:rsid w:val="6D720D24"/>
    <w:rsid w:val="6DAF6ABC"/>
    <w:rsid w:val="6DC38196"/>
    <w:rsid w:val="6DC8C2E9"/>
    <w:rsid w:val="6E13307C"/>
    <w:rsid w:val="6E1D7A5F"/>
    <w:rsid w:val="6F16A84E"/>
    <w:rsid w:val="6F54FCE4"/>
    <w:rsid w:val="6F762B55"/>
    <w:rsid w:val="6F80D3AA"/>
    <w:rsid w:val="70C50735"/>
    <w:rsid w:val="716890C5"/>
    <w:rsid w:val="71815EC3"/>
    <w:rsid w:val="71AB6B3D"/>
    <w:rsid w:val="72267DC2"/>
    <w:rsid w:val="72B1E9F4"/>
    <w:rsid w:val="72BCA581"/>
    <w:rsid w:val="733E73F9"/>
    <w:rsid w:val="7379CAB8"/>
    <w:rsid w:val="739F5E1B"/>
    <w:rsid w:val="74968059"/>
    <w:rsid w:val="74AC91DD"/>
    <w:rsid w:val="758A13AB"/>
    <w:rsid w:val="75BBE001"/>
    <w:rsid w:val="75E2091A"/>
    <w:rsid w:val="75FF53BE"/>
    <w:rsid w:val="762AC2A1"/>
    <w:rsid w:val="784B4F60"/>
    <w:rsid w:val="78A8B1C5"/>
    <w:rsid w:val="795F7370"/>
    <w:rsid w:val="797450E8"/>
    <w:rsid w:val="79AFEA3E"/>
    <w:rsid w:val="7AEB56C6"/>
    <w:rsid w:val="7B90177C"/>
    <w:rsid w:val="7CE138C9"/>
    <w:rsid w:val="7DA5AA09"/>
    <w:rsid w:val="7DF9D9D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D11EAFFD-8584-40F3-BC12-12B8ADD7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D0205"/>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59401F"/>
    <w:pPr>
      <w:spacing w:after="200"/>
    </w:pPr>
    <w:rPr>
      <w:i/>
      <w:iCs/>
      <w:color w:val="1F497D" w:themeColor="text2"/>
      <w:sz w:val="18"/>
      <w:szCs w:val="18"/>
    </w:rPr>
  </w:style>
  <w:style w:type="character" w:styleId="PlaceholderText">
    <w:name w:val="Placeholder Text"/>
    <w:basedOn w:val="DefaultParagraphFont"/>
    <w:uiPriority w:val="99"/>
    <w:semiHidden/>
    <w:rsid w:val="00B36084"/>
    <w:rPr>
      <w:color w:val="666666"/>
    </w:rPr>
  </w:style>
  <w:style w:type="character" w:customStyle="1" w:styleId="Heading1Char">
    <w:name w:val="Heading 1 Char"/>
    <w:basedOn w:val="DefaultParagraphFont"/>
    <w:link w:val="Heading1"/>
    <w:rsid w:val="006C0220"/>
    <w:rPr>
      <w:b/>
      <w:caps/>
      <w:sz w:val="24"/>
      <w:lang w:val="en-US" w:eastAsia="en-US"/>
    </w:rPr>
  </w:style>
  <w:style w:type="paragraph" w:styleId="Header">
    <w:name w:val="header"/>
    <w:basedOn w:val="Normal"/>
    <w:link w:val="HeaderChar"/>
    <w:unhideWhenUsed/>
    <w:rsid w:val="000D5A2F"/>
    <w:pPr>
      <w:tabs>
        <w:tab w:val="center" w:pos="4513"/>
        <w:tab w:val="right" w:pos="9026"/>
      </w:tabs>
    </w:pPr>
  </w:style>
  <w:style w:type="character" w:customStyle="1" w:styleId="HeaderChar">
    <w:name w:val="Header Char"/>
    <w:basedOn w:val="DefaultParagraphFont"/>
    <w:link w:val="Header"/>
    <w:rsid w:val="000D5A2F"/>
    <w:rPr>
      <w:sz w:val="24"/>
      <w:lang w:val="en-US" w:eastAsia="en-US"/>
    </w:rPr>
  </w:style>
  <w:style w:type="paragraph" w:styleId="Footer">
    <w:name w:val="footer"/>
    <w:basedOn w:val="Normal"/>
    <w:link w:val="FooterChar"/>
    <w:unhideWhenUsed/>
    <w:rsid w:val="000D5A2F"/>
    <w:pPr>
      <w:tabs>
        <w:tab w:val="center" w:pos="4513"/>
        <w:tab w:val="right" w:pos="9026"/>
      </w:tabs>
    </w:pPr>
  </w:style>
  <w:style w:type="character" w:customStyle="1" w:styleId="FooterChar">
    <w:name w:val="Footer Char"/>
    <w:basedOn w:val="DefaultParagraphFont"/>
    <w:link w:val="Footer"/>
    <w:rsid w:val="000D5A2F"/>
    <w:rPr>
      <w:sz w:val="24"/>
      <w:lang w:val="en-US" w:eastAsia="en-US"/>
    </w:rPr>
  </w:style>
  <w:style w:type="paragraph" w:customStyle="1" w:styleId="Normal1">
    <w:name w:val="Normal1"/>
    <w:rsid w:val="00DA060F"/>
    <w:pPr>
      <w:spacing w:after="160" w:line="259" w:lineRule="auto"/>
    </w:pPr>
    <w:rPr>
      <w:rFonts w:ascii="Calibri" w:eastAsia="Calibri" w:hAnsi="Calibri" w:cs="Calibri"/>
      <w:sz w:val="22"/>
      <w:szCs w:val="22"/>
      <w:lang w:val="en-I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4182">
      <w:bodyDiv w:val="1"/>
      <w:marLeft w:val="0"/>
      <w:marRight w:val="0"/>
      <w:marTop w:val="0"/>
      <w:marBottom w:val="0"/>
      <w:divBdr>
        <w:top w:val="none" w:sz="0" w:space="0" w:color="auto"/>
        <w:left w:val="none" w:sz="0" w:space="0" w:color="auto"/>
        <w:bottom w:val="none" w:sz="0" w:space="0" w:color="auto"/>
        <w:right w:val="none" w:sz="0" w:space="0" w:color="auto"/>
      </w:divBdr>
    </w:div>
    <w:div w:id="181867127">
      <w:bodyDiv w:val="1"/>
      <w:marLeft w:val="0"/>
      <w:marRight w:val="0"/>
      <w:marTop w:val="0"/>
      <w:marBottom w:val="0"/>
      <w:divBdr>
        <w:top w:val="none" w:sz="0" w:space="0" w:color="auto"/>
        <w:left w:val="none" w:sz="0" w:space="0" w:color="auto"/>
        <w:bottom w:val="none" w:sz="0" w:space="0" w:color="auto"/>
        <w:right w:val="none" w:sz="0" w:space="0" w:color="auto"/>
      </w:divBdr>
    </w:div>
    <w:div w:id="280384608">
      <w:bodyDiv w:val="1"/>
      <w:marLeft w:val="0"/>
      <w:marRight w:val="0"/>
      <w:marTop w:val="0"/>
      <w:marBottom w:val="0"/>
      <w:divBdr>
        <w:top w:val="none" w:sz="0" w:space="0" w:color="auto"/>
        <w:left w:val="none" w:sz="0" w:space="0" w:color="auto"/>
        <w:bottom w:val="none" w:sz="0" w:space="0" w:color="auto"/>
        <w:right w:val="none" w:sz="0" w:space="0" w:color="auto"/>
      </w:divBdr>
    </w:div>
    <w:div w:id="426272184">
      <w:bodyDiv w:val="1"/>
      <w:marLeft w:val="0"/>
      <w:marRight w:val="0"/>
      <w:marTop w:val="0"/>
      <w:marBottom w:val="0"/>
      <w:divBdr>
        <w:top w:val="none" w:sz="0" w:space="0" w:color="auto"/>
        <w:left w:val="none" w:sz="0" w:space="0" w:color="auto"/>
        <w:bottom w:val="none" w:sz="0" w:space="0" w:color="auto"/>
        <w:right w:val="none" w:sz="0" w:space="0" w:color="auto"/>
      </w:divBdr>
    </w:div>
    <w:div w:id="455567430">
      <w:bodyDiv w:val="1"/>
      <w:marLeft w:val="0"/>
      <w:marRight w:val="0"/>
      <w:marTop w:val="0"/>
      <w:marBottom w:val="0"/>
      <w:divBdr>
        <w:top w:val="none" w:sz="0" w:space="0" w:color="auto"/>
        <w:left w:val="none" w:sz="0" w:space="0" w:color="auto"/>
        <w:bottom w:val="none" w:sz="0" w:space="0" w:color="auto"/>
        <w:right w:val="none" w:sz="0" w:space="0" w:color="auto"/>
      </w:divBdr>
    </w:div>
    <w:div w:id="556547049">
      <w:bodyDiv w:val="1"/>
      <w:marLeft w:val="0"/>
      <w:marRight w:val="0"/>
      <w:marTop w:val="0"/>
      <w:marBottom w:val="0"/>
      <w:divBdr>
        <w:top w:val="none" w:sz="0" w:space="0" w:color="auto"/>
        <w:left w:val="none" w:sz="0" w:space="0" w:color="auto"/>
        <w:bottom w:val="none" w:sz="0" w:space="0" w:color="auto"/>
        <w:right w:val="none" w:sz="0" w:space="0" w:color="auto"/>
      </w:divBdr>
    </w:div>
    <w:div w:id="558591360">
      <w:bodyDiv w:val="1"/>
      <w:marLeft w:val="0"/>
      <w:marRight w:val="0"/>
      <w:marTop w:val="0"/>
      <w:marBottom w:val="0"/>
      <w:divBdr>
        <w:top w:val="none" w:sz="0" w:space="0" w:color="auto"/>
        <w:left w:val="none" w:sz="0" w:space="0" w:color="auto"/>
        <w:bottom w:val="none" w:sz="0" w:space="0" w:color="auto"/>
        <w:right w:val="none" w:sz="0" w:space="0" w:color="auto"/>
      </w:divBdr>
    </w:div>
    <w:div w:id="790241803">
      <w:bodyDiv w:val="1"/>
      <w:marLeft w:val="0"/>
      <w:marRight w:val="0"/>
      <w:marTop w:val="0"/>
      <w:marBottom w:val="0"/>
      <w:divBdr>
        <w:top w:val="none" w:sz="0" w:space="0" w:color="auto"/>
        <w:left w:val="none" w:sz="0" w:space="0" w:color="auto"/>
        <w:bottom w:val="none" w:sz="0" w:space="0" w:color="auto"/>
        <w:right w:val="none" w:sz="0" w:space="0" w:color="auto"/>
      </w:divBdr>
    </w:div>
    <w:div w:id="822350180">
      <w:bodyDiv w:val="1"/>
      <w:marLeft w:val="0"/>
      <w:marRight w:val="0"/>
      <w:marTop w:val="0"/>
      <w:marBottom w:val="0"/>
      <w:divBdr>
        <w:top w:val="none" w:sz="0" w:space="0" w:color="auto"/>
        <w:left w:val="none" w:sz="0" w:space="0" w:color="auto"/>
        <w:bottom w:val="none" w:sz="0" w:space="0" w:color="auto"/>
        <w:right w:val="none" w:sz="0" w:space="0" w:color="auto"/>
      </w:divBdr>
    </w:div>
    <w:div w:id="851140834">
      <w:bodyDiv w:val="1"/>
      <w:marLeft w:val="0"/>
      <w:marRight w:val="0"/>
      <w:marTop w:val="0"/>
      <w:marBottom w:val="0"/>
      <w:divBdr>
        <w:top w:val="none" w:sz="0" w:space="0" w:color="auto"/>
        <w:left w:val="none" w:sz="0" w:space="0" w:color="auto"/>
        <w:bottom w:val="none" w:sz="0" w:space="0" w:color="auto"/>
        <w:right w:val="none" w:sz="0" w:space="0" w:color="auto"/>
      </w:divBdr>
    </w:div>
    <w:div w:id="864103043">
      <w:bodyDiv w:val="1"/>
      <w:marLeft w:val="0"/>
      <w:marRight w:val="0"/>
      <w:marTop w:val="0"/>
      <w:marBottom w:val="0"/>
      <w:divBdr>
        <w:top w:val="none" w:sz="0" w:space="0" w:color="auto"/>
        <w:left w:val="none" w:sz="0" w:space="0" w:color="auto"/>
        <w:bottom w:val="none" w:sz="0" w:space="0" w:color="auto"/>
        <w:right w:val="none" w:sz="0" w:space="0" w:color="auto"/>
      </w:divBdr>
    </w:div>
    <w:div w:id="928268485">
      <w:bodyDiv w:val="1"/>
      <w:marLeft w:val="0"/>
      <w:marRight w:val="0"/>
      <w:marTop w:val="0"/>
      <w:marBottom w:val="0"/>
      <w:divBdr>
        <w:top w:val="none" w:sz="0" w:space="0" w:color="auto"/>
        <w:left w:val="none" w:sz="0" w:space="0" w:color="auto"/>
        <w:bottom w:val="none" w:sz="0" w:space="0" w:color="auto"/>
        <w:right w:val="none" w:sz="0" w:space="0" w:color="auto"/>
      </w:divBdr>
    </w:div>
    <w:div w:id="960183046">
      <w:bodyDiv w:val="1"/>
      <w:marLeft w:val="0"/>
      <w:marRight w:val="0"/>
      <w:marTop w:val="0"/>
      <w:marBottom w:val="0"/>
      <w:divBdr>
        <w:top w:val="none" w:sz="0" w:space="0" w:color="auto"/>
        <w:left w:val="none" w:sz="0" w:space="0" w:color="auto"/>
        <w:bottom w:val="none" w:sz="0" w:space="0" w:color="auto"/>
        <w:right w:val="none" w:sz="0" w:space="0" w:color="auto"/>
      </w:divBdr>
    </w:div>
    <w:div w:id="1087186726">
      <w:bodyDiv w:val="1"/>
      <w:marLeft w:val="0"/>
      <w:marRight w:val="0"/>
      <w:marTop w:val="0"/>
      <w:marBottom w:val="0"/>
      <w:divBdr>
        <w:top w:val="none" w:sz="0" w:space="0" w:color="auto"/>
        <w:left w:val="none" w:sz="0" w:space="0" w:color="auto"/>
        <w:bottom w:val="none" w:sz="0" w:space="0" w:color="auto"/>
        <w:right w:val="none" w:sz="0" w:space="0" w:color="auto"/>
      </w:divBdr>
    </w:div>
    <w:div w:id="1103840994">
      <w:bodyDiv w:val="1"/>
      <w:marLeft w:val="0"/>
      <w:marRight w:val="0"/>
      <w:marTop w:val="0"/>
      <w:marBottom w:val="0"/>
      <w:divBdr>
        <w:top w:val="none" w:sz="0" w:space="0" w:color="auto"/>
        <w:left w:val="none" w:sz="0" w:space="0" w:color="auto"/>
        <w:bottom w:val="none" w:sz="0" w:space="0" w:color="auto"/>
        <w:right w:val="none" w:sz="0" w:space="0" w:color="auto"/>
      </w:divBdr>
    </w:div>
    <w:div w:id="124494747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4240457">
      <w:bodyDiv w:val="1"/>
      <w:marLeft w:val="0"/>
      <w:marRight w:val="0"/>
      <w:marTop w:val="0"/>
      <w:marBottom w:val="0"/>
      <w:divBdr>
        <w:top w:val="none" w:sz="0" w:space="0" w:color="auto"/>
        <w:left w:val="none" w:sz="0" w:space="0" w:color="auto"/>
        <w:bottom w:val="none" w:sz="0" w:space="0" w:color="auto"/>
        <w:right w:val="none" w:sz="0" w:space="0" w:color="auto"/>
      </w:divBdr>
    </w:div>
    <w:div w:id="1283073214">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6688358">
      <w:bodyDiv w:val="1"/>
      <w:marLeft w:val="0"/>
      <w:marRight w:val="0"/>
      <w:marTop w:val="0"/>
      <w:marBottom w:val="0"/>
      <w:divBdr>
        <w:top w:val="none" w:sz="0" w:space="0" w:color="auto"/>
        <w:left w:val="none" w:sz="0" w:space="0" w:color="auto"/>
        <w:bottom w:val="none" w:sz="0" w:space="0" w:color="auto"/>
        <w:right w:val="none" w:sz="0" w:space="0" w:color="auto"/>
      </w:divBdr>
    </w:div>
    <w:div w:id="1336803619">
      <w:bodyDiv w:val="1"/>
      <w:marLeft w:val="0"/>
      <w:marRight w:val="0"/>
      <w:marTop w:val="0"/>
      <w:marBottom w:val="0"/>
      <w:divBdr>
        <w:top w:val="none" w:sz="0" w:space="0" w:color="auto"/>
        <w:left w:val="none" w:sz="0" w:space="0" w:color="auto"/>
        <w:bottom w:val="none" w:sz="0" w:space="0" w:color="auto"/>
        <w:right w:val="none" w:sz="0" w:space="0" w:color="auto"/>
      </w:divBdr>
    </w:div>
    <w:div w:id="1408185195">
      <w:bodyDiv w:val="1"/>
      <w:marLeft w:val="0"/>
      <w:marRight w:val="0"/>
      <w:marTop w:val="0"/>
      <w:marBottom w:val="0"/>
      <w:divBdr>
        <w:top w:val="none" w:sz="0" w:space="0" w:color="auto"/>
        <w:left w:val="none" w:sz="0" w:space="0" w:color="auto"/>
        <w:bottom w:val="none" w:sz="0" w:space="0" w:color="auto"/>
        <w:right w:val="none" w:sz="0" w:space="0" w:color="auto"/>
      </w:divBdr>
    </w:div>
    <w:div w:id="1418751396">
      <w:bodyDiv w:val="1"/>
      <w:marLeft w:val="0"/>
      <w:marRight w:val="0"/>
      <w:marTop w:val="0"/>
      <w:marBottom w:val="0"/>
      <w:divBdr>
        <w:top w:val="none" w:sz="0" w:space="0" w:color="auto"/>
        <w:left w:val="none" w:sz="0" w:space="0" w:color="auto"/>
        <w:bottom w:val="none" w:sz="0" w:space="0" w:color="auto"/>
        <w:right w:val="none" w:sz="0" w:space="0" w:color="auto"/>
      </w:divBdr>
    </w:div>
    <w:div w:id="1478575303">
      <w:bodyDiv w:val="1"/>
      <w:marLeft w:val="0"/>
      <w:marRight w:val="0"/>
      <w:marTop w:val="0"/>
      <w:marBottom w:val="0"/>
      <w:divBdr>
        <w:top w:val="none" w:sz="0" w:space="0" w:color="auto"/>
        <w:left w:val="none" w:sz="0" w:space="0" w:color="auto"/>
        <w:bottom w:val="none" w:sz="0" w:space="0" w:color="auto"/>
        <w:right w:val="none" w:sz="0" w:space="0" w:color="auto"/>
      </w:divBdr>
    </w:div>
    <w:div w:id="1557813032">
      <w:bodyDiv w:val="1"/>
      <w:marLeft w:val="0"/>
      <w:marRight w:val="0"/>
      <w:marTop w:val="0"/>
      <w:marBottom w:val="0"/>
      <w:divBdr>
        <w:top w:val="none" w:sz="0" w:space="0" w:color="auto"/>
        <w:left w:val="none" w:sz="0" w:space="0" w:color="auto"/>
        <w:bottom w:val="none" w:sz="0" w:space="0" w:color="auto"/>
        <w:right w:val="none" w:sz="0" w:space="0" w:color="auto"/>
      </w:divBdr>
    </w:div>
    <w:div w:id="158341642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4505408">
      <w:bodyDiv w:val="1"/>
      <w:marLeft w:val="0"/>
      <w:marRight w:val="0"/>
      <w:marTop w:val="0"/>
      <w:marBottom w:val="0"/>
      <w:divBdr>
        <w:top w:val="none" w:sz="0" w:space="0" w:color="auto"/>
        <w:left w:val="none" w:sz="0" w:space="0" w:color="auto"/>
        <w:bottom w:val="none" w:sz="0" w:space="0" w:color="auto"/>
        <w:right w:val="none" w:sz="0" w:space="0" w:color="auto"/>
      </w:divBdr>
    </w:div>
    <w:div w:id="1820228146">
      <w:bodyDiv w:val="1"/>
      <w:marLeft w:val="0"/>
      <w:marRight w:val="0"/>
      <w:marTop w:val="0"/>
      <w:marBottom w:val="0"/>
      <w:divBdr>
        <w:top w:val="none" w:sz="0" w:space="0" w:color="auto"/>
        <w:left w:val="none" w:sz="0" w:space="0" w:color="auto"/>
        <w:bottom w:val="none" w:sz="0" w:space="0" w:color="auto"/>
        <w:right w:val="none" w:sz="0" w:space="0" w:color="auto"/>
      </w:divBdr>
    </w:div>
    <w:div w:id="1834295307">
      <w:bodyDiv w:val="1"/>
      <w:marLeft w:val="0"/>
      <w:marRight w:val="0"/>
      <w:marTop w:val="0"/>
      <w:marBottom w:val="0"/>
      <w:divBdr>
        <w:top w:val="none" w:sz="0" w:space="0" w:color="auto"/>
        <w:left w:val="none" w:sz="0" w:space="0" w:color="auto"/>
        <w:bottom w:val="none" w:sz="0" w:space="0" w:color="auto"/>
        <w:right w:val="none" w:sz="0" w:space="0" w:color="auto"/>
      </w:divBdr>
    </w:div>
    <w:div w:id="1846361633">
      <w:bodyDiv w:val="1"/>
      <w:marLeft w:val="0"/>
      <w:marRight w:val="0"/>
      <w:marTop w:val="0"/>
      <w:marBottom w:val="0"/>
      <w:divBdr>
        <w:top w:val="none" w:sz="0" w:space="0" w:color="auto"/>
        <w:left w:val="none" w:sz="0" w:space="0" w:color="auto"/>
        <w:bottom w:val="none" w:sz="0" w:space="0" w:color="auto"/>
        <w:right w:val="none" w:sz="0" w:space="0" w:color="auto"/>
      </w:divBdr>
    </w:div>
    <w:div w:id="1881936203">
      <w:bodyDiv w:val="1"/>
      <w:marLeft w:val="0"/>
      <w:marRight w:val="0"/>
      <w:marTop w:val="0"/>
      <w:marBottom w:val="0"/>
      <w:divBdr>
        <w:top w:val="none" w:sz="0" w:space="0" w:color="auto"/>
        <w:left w:val="none" w:sz="0" w:space="0" w:color="auto"/>
        <w:bottom w:val="none" w:sz="0" w:space="0" w:color="auto"/>
        <w:right w:val="none" w:sz="0" w:space="0" w:color="auto"/>
      </w:divBdr>
    </w:div>
    <w:div w:id="1886603310">
      <w:bodyDiv w:val="1"/>
      <w:marLeft w:val="0"/>
      <w:marRight w:val="0"/>
      <w:marTop w:val="0"/>
      <w:marBottom w:val="0"/>
      <w:divBdr>
        <w:top w:val="none" w:sz="0" w:space="0" w:color="auto"/>
        <w:left w:val="none" w:sz="0" w:space="0" w:color="auto"/>
        <w:bottom w:val="none" w:sz="0" w:space="0" w:color="auto"/>
        <w:right w:val="none" w:sz="0" w:space="0" w:color="auto"/>
      </w:divBdr>
    </w:div>
    <w:div w:id="1900283313">
      <w:bodyDiv w:val="1"/>
      <w:marLeft w:val="0"/>
      <w:marRight w:val="0"/>
      <w:marTop w:val="0"/>
      <w:marBottom w:val="0"/>
      <w:divBdr>
        <w:top w:val="none" w:sz="0" w:space="0" w:color="auto"/>
        <w:left w:val="none" w:sz="0" w:space="0" w:color="auto"/>
        <w:bottom w:val="none" w:sz="0" w:space="0" w:color="auto"/>
        <w:right w:val="none" w:sz="0" w:space="0" w:color="auto"/>
      </w:divBdr>
      <w:divsChild>
        <w:div w:id="1585454277">
          <w:marLeft w:val="480"/>
          <w:marRight w:val="0"/>
          <w:marTop w:val="0"/>
          <w:marBottom w:val="0"/>
          <w:divBdr>
            <w:top w:val="none" w:sz="0" w:space="0" w:color="auto"/>
            <w:left w:val="none" w:sz="0" w:space="0" w:color="auto"/>
            <w:bottom w:val="none" w:sz="0" w:space="0" w:color="auto"/>
            <w:right w:val="none" w:sz="0" w:space="0" w:color="auto"/>
          </w:divBdr>
        </w:div>
        <w:div w:id="2121877136">
          <w:marLeft w:val="480"/>
          <w:marRight w:val="0"/>
          <w:marTop w:val="0"/>
          <w:marBottom w:val="0"/>
          <w:divBdr>
            <w:top w:val="none" w:sz="0" w:space="0" w:color="auto"/>
            <w:left w:val="none" w:sz="0" w:space="0" w:color="auto"/>
            <w:bottom w:val="none" w:sz="0" w:space="0" w:color="auto"/>
            <w:right w:val="none" w:sz="0" w:space="0" w:color="auto"/>
          </w:divBdr>
        </w:div>
        <w:div w:id="862061351">
          <w:marLeft w:val="480"/>
          <w:marRight w:val="0"/>
          <w:marTop w:val="0"/>
          <w:marBottom w:val="0"/>
          <w:divBdr>
            <w:top w:val="none" w:sz="0" w:space="0" w:color="auto"/>
            <w:left w:val="none" w:sz="0" w:space="0" w:color="auto"/>
            <w:bottom w:val="none" w:sz="0" w:space="0" w:color="auto"/>
            <w:right w:val="none" w:sz="0" w:space="0" w:color="auto"/>
          </w:divBdr>
        </w:div>
        <w:div w:id="413280302">
          <w:marLeft w:val="480"/>
          <w:marRight w:val="0"/>
          <w:marTop w:val="0"/>
          <w:marBottom w:val="0"/>
          <w:divBdr>
            <w:top w:val="none" w:sz="0" w:space="0" w:color="auto"/>
            <w:left w:val="none" w:sz="0" w:space="0" w:color="auto"/>
            <w:bottom w:val="none" w:sz="0" w:space="0" w:color="auto"/>
            <w:right w:val="none" w:sz="0" w:space="0" w:color="auto"/>
          </w:divBdr>
        </w:div>
      </w:divsChild>
    </w:div>
    <w:div w:id="1948272803">
      <w:bodyDiv w:val="1"/>
      <w:marLeft w:val="0"/>
      <w:marRight w:val="0"/>
      <w:marTop w:val="0"/>
      <w:marBottom w:val="0"/>
      <w:divBdr>
        <w:top w:val="none" w:sz="0" w:space="0" w:color="auto"/>
        <w:left w:val="none" w:sz="0" w:space="0" w:color="auto"/>
        <w:bottom w:val="none" w:sz="0" w:space="0" w:color="auto"/>
        <w:right w:val="none" w:sz="0" w:space="0" w:color="auto"/>
      </w:divBdr>
    </w:div>
    <w:div w:id="2073503428">
      <w:bodyDiv w:val="1"/>
      <w:marLeft w:val="0"/>
      <w:marRight w:val="0"/>
      <w:marTop w:val="0"/>
      <w:marBottom w:val="0"/>
      <w:divBdr>
        <w:top w:val="none" w:sz="0" w:space="0" w:color="auto"/>
        <w:left w:val="none" w:sz="0" w:space="0" w:color="auto"/>
        <w:bottom w:val="none" w:sz="0" w:space="0" w:color="auto"/>
        <w:right w:val="none" w:sz="0" w:space="0" w:color="auto"/>
      </w:divBdr>
    </w:div>
    <w:div w:id="211512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20corresponding%20author:%20suraya.nurain@mmu.edu.m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4419ECE-997E-4220-A68F-5D5C4666EA27}"/>
      </w:docPartPr>
      <w:docPartBody>
        <w:p w:rsidR="00F4153D" w:rsidRDefault="00A1223A">
          <w:r w:rsidRPr="002273D5">
            <w:rPr>
              <w:rStyle w:val="PlaceholderText"/>
            </w:rPr>
            <w:t>Click or tap here to enter text.</w:t>
          </w:r>
        </w:p>
      </w:docPartBody>
    </w:docPart>
    <w:docPart>
      <w:docPartPr>
        <w:name w:val="83773414DC794576B9DD6298A9669C70"/>
        <w:category>
          <w:name w:val="General"/>
          <w:gallery w:val="placeholder"/>
        </w:category>
        <w:types>
          <w:type w:val="bbPlcHdr"/>
        </w:types>
        <w:behaviors>
          <w:behavior w:val="content"/>
        </w:behaviors>
        <w:guid w:val="{D0D141A6-7C2E-47ED-B534-DE6B36FA433C}"/>
      </w:docPartPr>
      <w:docPartBody>
        <w:p w:rsidR="00963B79" w:rsidRDefault="000C767D" w:rsidP="000C767D">
          <w:pPr>
            <w:pStyle w:val="83773414DC794576B9DD6298A9669C70"/>
          </w:pPr>
          <w:r w:rsidRPr="002273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23A"/>
    <w:rsid w:val="000547DC"/>
    <w:rsid w:val="000C767D"/>
    <w:rsid w:val="001A78E8"/>
    <w:rsid w:val="003C5900"/>
    <w:rsid w:val="003E144B"/>
    <w:rsid w:val="00424AA8"/>
    <w:rsid w:val="004A3AA3"/>
    <w:rsid w:val="00514E0E"/>
    <w:rsid w:val="0054146B"/>
    <w:rsid w:val="005A498D"/>
    <w:rsid w:val="00640AE1"/>
    <w:rsid w:val="006A78DC"/>
    <w:rsid w:val="006B1F97"/>
    <w:rsid w:val="00766D8C"/>
    <w:rsid w:val="008919B8"/>
    <w:rsid w:val="009348F8"/>
    <w:rsid w:val="00963B79"/>
    <w:rsid w:val="00971691"/>
    <w:rsid w:val="00996A37"/>
    <w:rsid w:val="00A1223A"/>
    <w:rsid w:val="00A94A4B"/>
    <w:rsid w:val="00AC04AD"/>
    <w:rsid w:val="00AD42DB"/>
    <w:rsid w:val="00B45242"/>
    <w:rsid w:val="00C4082F"/>
    <w:rsid w:val="00C41ED1"/>
    <w:rsid w:val="00C971B5"/>
    <w:rsid w:val="00E2026D"/>
    <w:rsid w:val="00E77F1D"/>
    <w:rsid w:val="00F4153D"/>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767D"/>
    <w:rPr>
      <w:color w:val="666666"/>
    </w:rPr>
  </w:style>
  <w:style w:type="paragraph" w:customStyle="1" w:styleId="83773414DC794576B9DD6298A9669C70">
    <w:name w:val="83773414DC794576B9DD6298A9669C70"/>
    <w:rsid w:val="000C76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47</TotalTime>
  <Pages>7</Pages>
  <Words>3748</Words>
  <Characters>21364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13</cp:revision>
  <cp:lastPrinted>2025-10-04T01:57:00Z</cp:lastPrinted>
  <dcterms:created xsi:type="dcterms:W3CDTF">2025-08-12T14:43:00Z</dcterms:created>
  <dcterms:modified xsi:type="dcterms:W3CDTF">2025-10-04T01:57:00Z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70ac72e6-ed5d-40a7-960b-c4a3e2330081</vt:lpwstr>
  </property>
</Properties>
</file>